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fr-CA"/>
        </w:rPr>
        <w:id w:val="1622408992"/>
        <w:docPartObj>
          <w:docPartGallery w:val="Cover Pages"/>
          <w:docPartUnique/>
        </w:docPartObj>
      </w:sdtPr>
      <w:sdtEndPr/>
      <w:sdtContent>
        <w:p w14:paraId="31B948B7" w14:textId="77777777" w:rsidR="00F737AD" w:rsidRPr="00CD71E6" w:rsidRDefault="00F737AD">
          <w:pPr>
            <w:spacing w:after="200" w:line="276" w:lineRule="auto"/>
            <w:rPr>
              <w:lang w:val="fr-CA"/>
            </w:rPr>
          </w:pPr>
        </w:p>
        <w:tbl>
          <w:tblPr>
            <w:tblStyle w:val="TableGrid"/>
            <w:tblW w:w="9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44" w:type="dxa"/>
              <w:bottom w:w="115" w:type="dxa"/>
              <w:right w:w="115" w:type="dxa"/>
            </w:tblCellMar>
            <w:tblLook w:val="04A0" w:firstRow="1" w:lastRow="0" w:firstColumn="1" w:lastColumn="0" w:noHBand="0" w:noVBand="1"/>
          </w:tblPr>
          <w:tblGrid>
            <w:gridCol w:w="1764"/>
            <w:gridCol w:w="7650"/>
          </w:tblGrid>
          <w:tr w:rsidR="00F737AD" w:rsidRPr="00B01B52" w14:paraId="2ED30927" w14:textId="77777777" w:rsidTr="00F8627B">
            <w:trPr>
              <w:trHeight w:val="2569"/>
            </w:trPr>
            <w:tc>
              <w:tcPr>
                <w:tcW w:w="1764" w:type="dxa"/>
              </w:tcPr>
              <w:p w14:paraId="2C275645" w14:textId="77777777" w:rsidR="00F737AD" w:rsidRPr="00CD71E6" w:rsidRDefault="00F737AD" w:rsidP="009419AC">
                <w:pPr>
                  <w:widowControl w:val="0"/>
                  <w:autoSpaceDE w:val="0"/>
                  <w:autoSpaceDN w:val="0"/>
                  <w:adjustRightInd w:val="0"/>
                  <w:spacing w:before="17" w:after="0" w:line="280" w:lineRule="exact"/>
                  <w:rPr>
                    <w:rFonts w:ascii="Times New Roman" w:hAnsi="Times New Roman"/>
                    <w:sz w:val="28"/>
                    <w:szCs w:val="28"/>
                    <w:lang w:val="fr-CA"/>
                  </w:rPr>
                </w:pPr>
              </w:p>
            </w:tc>
            <w:tc>
              <w:tcPr>
                <w:tcW w:w="7650" w:type="dxa"/>
                <w:vAlign w:val="center"/>
              </w:tcPr>
              <w:p w14:paraId="7C2571F9" w14:textId="77777777" w:rsidR="00AE003F" w:rsidRPr="00CD71E6" w:rsidRDefault="00AE003F" w:rsidP="009419AC">
                <w:pPr>
                  <w:rPr>
                    <w:rFonts w:ascii="Arial" w:hAnsi="Arial" w:cs="Arial"/>
                    <w:b/>
                    <w:color w:val="005798"/>
                    <w:sz w:val="56"/>
                    <w:szCs w:val="56"/>
                    <w:lang w:val="fr-CA"/>
                  </w:rPr>
                </w:pPr>
              </w:p>
              <w:p w14:paraId="439266A7" w14:textId="6CCC1661" w:rsidR="002977BA" w:rsidRPr="00CD71E6" w:rsidRDefault="000A6C8D" w:rsidP="009419AC">
                <w:pPr>
                  <w:rPr>
                    <w:rFonts w:ascii="Arial" w:hAnsi="Arial" w:cs="Arial"/>
                    <w:b/>
                    <w:color w:val="005798"/>
                    <w:sz w:val="48"/>
                    <w:szCs w:val="48"/>
                    <w:lang w:val="fr-CA"/>
                  </w:rPr>
                </w:pPr>
                <w:r w:rsidRPr="00CD71E6">
                  <w:rPr>
                    <w:rFonts w:ascii="Arial" w:hAnsi="Arial" w:cs="Arial"/>
                    <w:b/>
                    <w:bCs/>
                    <w:color w:val="005798"/>
                    <w:sz w:val="48"/>
                    <w:szCs w:val="48"/>
                    <w:lang w:val="fr-CA"/>
                  </w:rPr>
                  <w:t xml:space="preserve">Collège de l’Arctique </w:t>
                </w:r>
                <w:r w:rsidR="00E23808" w:rsidRPr="00CD71E6">
                  <w:rPr>
                    <w:rFonts w:ascii="Arial" w:hAnsi="Arial" w:cs="Arial"/>
                    <w:b/>
                    <w:bCs/>
                    <w:color w:val="005798"/>
                    <w:sz w:val="48"/>
                    <w:szCs w:val="48"/>
                    <w:lang w:val="fr-CA"/>
                  </w:rPr>
                  <w:t>du</w:t>
                </w:r>
                <w:r w:rsidR="00E23808">
                  <w:rPr>
                    <w:rFonts w:ascii="Arial" w:hAnsi="Arial" w:cs="Arial"/>
                    <w:b/>
                    <w:bCs/>
                    <w:color w:val="005798"/>
                    <w:sz w:val="48"/>
                    <w:szCs w:val="48"/>
                    <w:lang w:val="fr-CA"/>
                  </w:rPr>
                  <w:t> </w:t>
                </w:r>
                <w:r w:rsidRPr="00CD71E6">
                  <w:rPr>
                    <w:rFonts w:ascii="Arial" w:hAnsi="Arial" w:cs="Arial"/>
                    <w:b/>
                    <w:bCs/>
                    <w:color w:val="005798"/>
                    <w:sz w:val="48"/>
                    <w:szCs w:val="48"/>
                    <w:lang w:val="fr-CA"/>
                  </w:rPr>
                  <w:t>Nunavut</w:t>
                </w:r>
              </w:p>
              <w:p w14:paraId="6278DE9F" w14:textId="6C8378C1" w:rsidR="00F737AD" w:rsidRPr="00CD71E6" w:rsidRDefault="00AE003F" w:rsidP="002977BA">
                <w:pPr>
                  <w:rPr>
                    <w:rFonts w:ascii="Arial" w:hAnsi="Arial" w:cs="Arial"/>
                    <w:b/>
                    <w:color w:val="005798"/>
                    <w:sz w:val="56"/>
                    <w:szCs w:val="56"/>
                    <w:lang w:val="fr-CA"/>
                  </w:rPr>
                </w:pPr>
                <w:r w:rsidRPr="00CD71E6">
                  <w:rPr>
                    <w:rFonts w:ascii="Arial" w:hAnsi="Arial" w:cs="Arial"/>
                    <w:b/>
                    <w:bCs/>
                    <w:color w:val="005798"/>
                    <w:sz w:val="56"/>
                    <w:szCs w:val="56"/>
                    <w:lang w:val="fr-CA"/>
                  </w:rPr>
                  <w:t xml:space="preserve">Plan d’embauchage </w:t>
                </w:r>
                <w:r w:rsidR="00E23808" w:rsidRPr="00CD71E6">
                  <w:rPr>
                    <w:rFonts w:ascii="Arial" w:hAnsi="Arial" w:cs="Arial"/>
                    <w:b/>
                    <w:bCs/>
                    <w:color w:val="005798"/>
                    <w:sz w:val="56"/>
                    <w:szCs w:val="56"/>
                    <w:lang w:val="fr-CA"/>
                  </w:rPr>
                  <w:t>des</w:t>
                </w:r>
                <w:r w:rsidR="00E23808">
                  <w:rPr>
                    <w:rFonts w:ascii="Arial" w:hAnsi="Arial" w:cs="Arial"/>
                    <w:b/>
                    <w:bCs/>
                    <w:color w:val="005798"/>
                    <w:sz w:val="56"/>
                    <w:szCs w:val="56"/>
                    <w:lang w:val="fr-CA"/>
                  </w:rPr>
                  <w:t> </w:t>
                </w:r>
                <w:r w:rsidRPr="00CD71E6">
                  <w:rPr>
                    <w:rFonts w:ascii="Arial" w:hAnsi="Arial" w:cs="Arial"/>
                    <w:b/>
                    <w:bCs/>
                    <w:color w:val="005798"/>
                    <w:sz w:val="56"/>
                    <w:szCs w:val="56"/>
                    <w:lang w:val="fr-CA"/>
                  </w:rPr>
                  <w:t>Inuits de 2017 à 2023</w:t>
                </w:r>
              </w:p>
              <w:p w14:paraId="52015E51" w14:textId="77777777" w:rsidR="002977BA" w:rsidRPr="00CD71E6" w:rsidRDefault="002977BA" w:rsidP="002977BA">
                <w:pPr>
                  <w:rPr>
                    <w:rFonts w:ascii="Arial" w:hAnsi="Arial" w:cs="Arial"/>
                    <w:b/>
                    <w:color w:val="005798"/>
                    <w:sz w:val="96"/>
                    <w:szCs w:val="96"/>
                    <w:lang w:val="fr-CA"/>
                  </w:rPr>
                </w:pPr>
              </w:p>
              <w:p w14:paraId="5A628D7C" w14:textId="77777777" w:rsidR="00BD45DB" w:rsidRPr="00CD71E6" w:rsidRDefault="00BD45DB" w:rsidP="00BD45DB">
                <w:pPr>
                  <w:rPr>
                    <w:rFonts w:ascii="Arial" w:hAnsi="Arial" w:cs="Arial"/>
                    <w:b/>
                    <w:color w:val="005798"/>
                    <w:sz w:val="48"/>
                    <w:szCs w:val="48"/>
                    <w:lang w:val="fr-CA"/>
                  </w:rPr>
                </w:pPr>
                <w:r w:rsidRPr="00CD71E6">
                  <w:rPr>
                    <w:rFonts w:ascii="Arial" w:hAnsi="Arial" w:cs="Arial"/>
                    <w:b/>
                    <w:bCs/>
                    <w:color w:val="005798"/>
                    <w:sz w:val="48"/>
                    <w:szCs w:val="48"/>
                    <w:lang w:val="fr-CA"/>
                  </w:rPr>
                  <w:t>2017-2018</w:t>
                </w:r>
              </w:p>
              <w:p w14:paraId="198C1A20" w14:textId="72AABF3C" w:rsidR="002977BA" w:rsidRPr="00CD71E6" w:rsidRDefault="00F8627B" w:rsidP="00BD45DB">
                <w:pPr>
                  <w:rPr>
                    <w:rFonts w:ascii="Arial" w:hAnsi="Arial" w:cs="Arial"/>
                    <w:color w:val="005798"/>
                    <w:sz w:val="48"/>
                    <w:szCs w:val="48"/>
                    <w:lang w:val="fr-CA"/>
                  </w:rPr>
                </w:pPr>
                <w:r w:rsidRPr="00CD71E6">
                  <w:rPr>
                    <w:rFonts w:ascii="Arial" w:hAnsi="Arial" w:cs="Arial"/>
                    <w:color w:val="005798"/>
                    <w:sz w:val="48"/>
                    <w:szCs w:val="48"/>
                    <w:lang w:val="fr-CA"/>
                  </w:rPr>
                  <w:t>Mis à jour en juillet 2019</w:t>
                </w:r>
              </w:p>
            </w:tc>
          </w:tr>
          <w:tr w:rsidR="00F737AD" w:rsidRPr="00B01B52" w14:paraId="3E270936" w14:textId="77777777" w:rsidTr="00F8627B">
            <w:tc>
              <w:tcPr>
                <w:tcW w:w="1764" w:type="dxa"/>
              </w:tcPr>
              <w:p w14:paraId="7112FA9A" w14:textId="77777777" w:rsidR="00F737AD" w:rsidRPr="00CD71E6" w:rsidRDefault="00F737AD" w:rsidP="009419AC">
                <w:pPr>
                  <w:widowControl w:val="0"/>
                  <w:autoSpaceDE w:val="0"/>
                  <w:autoSpaceDN w:val="0"/>
                  <w:adjustRightInd w:val="0"/>
                  <w:spacing w:before="17" w:after="0" w:line="280" w:lineRule="exact"/>
                  <w:rPr>
                    <w:rFonts w:ascii="Times New Roman" w:hAnsi="Times New Roman"/>
                    <w:sz w:val="28"/>
                    <w:szCs w:val="28"/>
                    <w:lang w:val="fr-CA"/>
                  </w:rPr>
                </w:pPr>
              </w:p>
            </w:tc>
            <w:tc>
              <w:tcPr>
                <w:tcW w:w="7650" w:type="dxa"/>
              </w:tcPr>
              <w:p w14:paraId="0024D332" w14:textId="77777777" w:rsidR="00F737AD" w:rsidRPr="00CD71E6" w:rsidRDefault="00F737AD" w:rsidP="009419AC">
                <w:pPr>
                  <w:widowControl w:val="0"/>
                  <w:autoSpaceDE w:val="0"/>
                  <w:autoSpaceDN w:val="0"/>
                  <w:adjustRightInd w:val="0"/>
                  <w:spacing w:before="17" w:after="0" w:line="280" w:lineRule="exact"/>
                  <w:jc w:val="center"/>
                  <w:rPr>
                    <w:rFonts w:ascii="Times New Roman" w:hAnsi="Times New Roman"/>
                    <w:noProof/>
                    <w:sz w:val="28"/>
                    <w:szCs w:val="28"/>
                    <w:lang w:val="fr-CA"/>
                  </w:rPr>
                </w:pPr>
              </w:p>
              <w:p w14:paraId="1FC6D259" w14:textId="77777777" w:rsidR="002977BA" w:rsidRPr="00CD71E6" w:rsidRDefault="002977BA" w:rsidP="009419AC">
                <w:pPr>
                  <w:widowControl w:val="0"/>
                  <w:autoSpaceDE w:val="0"/>
                  <w:autoSpaceDN w:val="0"/>
                  <w:adjustRightInd w:val="0"/>
                  <w:spacing w:before="17" w:after="0" w:line="280" w:lineRule="exact"/>
                  <w:jc w:val="center"/>
                  <w:rPr>
                    <w:rFonts w:ascii="Times New Roman" w:hAnsi="Times New Roman"/>
                    <w:noProof/>
                    <w:sz w:val="28"/>
                    <w:szCs w:val="28"/>
                    <w:lang w:val="fr-CA"/>
                  </w:rPr>
                </w:pPr>
              </w:p>
              <w:p w14:paraId="2980681E" w14:textId="77777777" w:rsidR="002977BA" w:rsidRPr="00CD71E6" w:rsidRDefault="002977BA" w:rsidP="009419AC">
                <w:pPr>
                  <w:widowControl w:val="0"/>
                  <w:autoSpaceDE w:val="0"/>
                  <w:autoSpaceDN w:val="0"/>
                  <w:adjustRightInd w:val="0"/>
                  <w:spacing w:before="17" w:after="0" w:line="280" w:lineRule="exact"/>
                  <w:jc w:val="center"/>
                  <w:rPr>
                    <w:rFonts w:ascii="Times New Roman" w:hAnsi="Times New Roman"/>
                    <w:sz w:val="28"/>
                    <w:szCs w:val="28"/>
                    <w:lang w:val="fr-CA"/>
                  </w:rPr>
                </w:pPr>
              </w:p>
            </w:tc>
          </w:tr>
        </w:tbl>
        <w:p w14:paraId="7A992CF0" w14:textId="77777777" w:rsidR="00DE55BD" w:rsidRPr="00CD71E6" w:rsidRDefault="000906A7">
          <w:pPr>
            <w:spacing w:after="200" w:line="276" w:lineRule="auto"/>
            <w:rPr>
              <w:lang w:val="fr-CA"/>
            </w:rPr>
          </w:pPr>
          <w:r w:rsidRPr="00CD71E6">
            <w:rPr>
              <w:lang w:val="fr-CA"/>
            </w:rPr>
            <w:br w:type="page"/>
          </w:r>
        </w:p>
      </w:sdtContent>
    </w:sdt>
    <w:sdt>
      <w:sdtPr>
        <w:rPr>
          <w:rFonts w:ascii="Calibri" w:eastAsiaTheme="minorHAnsi" w:hAnsi="Calibri" w:cs="Times New Roman"/>
          <w:b w:val="0"/>
          <w:bCs w:val="0"/>
          <w:color w:val="auto"/>
          <w:kern w:val="24"/>
          <w:sz w:val="22"/>
          <w:szCs w:val="20"/>
          <w:lang w:val="fr-CA"/>
          <w14:ligatures w14:val="standardContextual"/>
        </w:rPr>
        <w:id w:val="-1369210511"/>
        <w:docPartObj>
          <w:docPartGallery w:val="Table of Contents"/>
          <w:docPartUnique/>
        </w:docPartObj>
      </w:sdtPr>
      <w:sdtEndPr>
        <w:rPr>
          <w:noProof/>
        </w:rPr>
      </w:sdtEndPr>
      <w:sdtContent>
        <w:p w14:paraId="615DE899" w14:textId="77777777" w:rsidR="008E675F" w:rsidRPr="00CD71E6" w:rsidRDefault="008E675F">
          <w:pPr>
            <w:pStyle w:val="TOCHeading"/>
            <w:rPr>
              <w:color w:val="005798"/>
              <w:lang w:val="fr-CA"/>
            </w:rPr>
          </w:pPr>
          <w:r w:rsidRPr="00CD71E6">
            <w:rPr>
              <w:color w:val="005798"/>
              <w:lang w:val="fr-CA"/>
            </w:rPr>
            <w:t>Table des matières</w:t>
          </w:r>
        </w:p>
        <w:p w14:paraId="67BFA20F" w14:textId="0F3137C8" w:rsidR="00761629" w:rsidRDefault="008E675F">
          <w:pPr>
            <w:pStyle w:val="TOC1"/>
            <w:rPr>
              <w:rFonts w:asciiTheme="minorHAnsi" w:eastAsiaTheme="minorEastAsia" w:hAnsiTheme="minorHAnsi" w:cstheme="minorBidi"/>
              <w:b w:val="0"/>
              <w:caps w:val="0"/>
              <w:color w:val="auto"/>
              <w:kern w:val="0"/>
              <w:szCs w:val="22"/>
              <w:lang w:val="en-US" w:eastAsia="en-US"/>
              <w14:ligatures w14:val="none"/>
            </w:rPr>
          </w:pPr>
          <w:r w:rsidRPr="00CD71E6">
            <w:rPr>
              <w:bCs/>
              <w:lang w:val="fr-CA"/>
            </w:rPr>
            <w:fldChar w:fldCharType="begin"/>
          </w:r>
          <w:r w:rsidRPr="00CD71E6">
            <w:rPr>
              <w:lang w:val="fr-CA"/>
            </w:rPr>
            <w:instrText xml:space="preserve"> TOC \o "1-3" \h \z \u </w:instrText>
          </w:r>
          <w:r w:rsidRPr="00CD71E6">
            <w:rPr>
              <w:lang w:val="fr-CA"/>
            </w:rPr>
            <w:fldChar w:fldCharType="separate"/>
          </w:r>
          <w:hyperlink w:anchor="_Toc41053664" w:history="1">
            <w:r w:rsidR="00761629" w:rsidRPr="006D0E38">
              <w:rPr>
                <w:rStyle w:val="Hyperlink"/>
                <w:lang w:val="fr-CA"/>
              </w:rPr>
              <w:t>Introduction</w:t>
            </w:r>
            <w:r w:rsidR="00761629">
              <w:rPr>
                <w:webHidden/>
              </w:rPr>
              <w:tab/>
            </w:r>
            <w:r w:rsidR="00761629">
              <w:rPr>
                <w:webHidden/>
              </w:rPr>
              <w:fldChar w:fldCharType="begin"/>
            </w:r>
            <w:r w:rsidR="00761629">
              <w:rPr>
                <w:webHidden/>
              </w:rPr>
              <w:instrText xml:space="preserve"> PAGEREF _Toc41053664 \h </w:instrText>
            </w:r>
            <w:r w:rsidR="00761629">
              <w:rPr>
                <w:webHidden/>
              </w:rPr>
            </w:r>
            <w:r w:rsidR="00761629">
              <w:rPr>
                <w:webHidden/>
              </w:rPr>
              <w:fldChar w:fldCharType="separate"/>
            </w:r>
            <w:r w:rsidR="004373E7">
              <w:rPr>
                <w:webHidden/>
              </w:rPr>
              <w:t>4</w:t>
            </w:r>
            <w:r w:rsidR="00761629">
              <w:rPr>
                <w:webHidden/>
              </w:rPr>
              <w:fldChar w:fldCharType="end"/>
            </w:r>
          </w:hyperlink>
        </w:p>
        <w:p w14:paraId="3DB91575" w14:textId="451C67B7" w:rsidR="00761629" w:rsidRDefault="004373E7">
          <w:pPr>
            <w:pStyle w:val="TOC2"/>
            <w:rPr>
              <w:rFonts w:asciiTheme="minorHAnsi" w:eastAsiaTheme="minorEastAsia" w:hAnsiTheme="minorHAnsi" w:cstheme="minorBidi"/>
              <w:kern w:val="0"/>
              <w:szCs w:val="22"/>
              <w:lang w:val="en-US" w:eastAsia="en-US"/>
              <w14:ligatures w14:val="none"/>
            </w:rPr>
          </w:pPr>
          <w:hyperlink w:anchor="_Toc41053665" w:history="1">
            <w:r w:rsidR="00761629" w:rsidRPr="006D0E38">
              <w:rPr>
                <w:rStyle w:val="Hyperlink"/>
                <w:bCs/>
                <w:lang w:val="fr-CA"/>
              </w:rPr>
              <w:t>Plan principal d’embauchage des Inuits à l’horizon 2023</w:t>
            </w:r>
            <w:r w:rsidR="00761629">
              <w:rPr>
                <w:webHidden/>
              </w:rPr>
              <w:tab/>
            </w:r>
            <w:r w:rsidR="00761629">
              <w:rPr>
                <w:webHidden/>
              </w:rPr>
              <w:fldChar w:fldCharType="begin"/>
            </w:r>
            <w:r w:rsidR="00761629">
              <w:rPr>
                <w:webHidden/>
              </w:rPr>
              <w:instrText xml:space="preserve"> PAGEREF _Toc41053665 \h </w:instrText>
            </w:r>
            <w:r w:rsidR="00761629">
              <w:rPr>
                <w:webHidden/>
              </w:rPr>
            </w:r>
            <w:r w:rsidR="00761629">
              <w:rPr>
                <w:webHidden/>
              </w:rPr>
              <w:fldChar w:fldCharType="separate"/>
            </w:r>
            <w:r>
              <w:rPr>
                <w:webHidden/>
              </w:rPr>
              <w:t>4</w:t>
            </w:r>
            <w:r w:rsidR="00761629">
              <w:rPr>
                <w:webHidden/>
              </w:rPr>
              <w:fldChar w:fldCharType="end"/>
            </w:r>
          </w:hyperlink>
        </w:p>
        <w:p w14:paraId="0078F496" w14:textId="73E88DF2" w:rsidR="00761629" w:rsidRDefault="004373E7">
          <w:pPr>
            <w:pStyle w:val="TOC2"/>
            <w:rPr>
              <w:rFonts w:asciiTheme="minorHAnsi" w:eastAsiaTheme="minorEastAsia" w:hAnsiTheme="minorHAnsi" w:cstheme="minorBidi"/>
              <w:kern w:val="0"/>
              <w:szCs w:val="22"/>
              <w:lang w:val="en-US" w:eastAsia="en-US"/>
              <w14:ligatures w14:val="none"/>
            </w:rPr>
          </w:pPr>
          <w:hyperlink w:anchor="_Toc41053666" w:history="1">
            <w:r w:rsidR="00761629" w:rsidRPr="006D0E38">
              <w:rPr>
                <w:rStyle w:val="Hyperlink"/>
                <w:bCs/>
                <w:lang w:val="fr-CA"/>
              </w:rPr>
              <w:t>Plans ministériels d’embauchage des Inuits à l’horizon 2023</w:t>
            </w:r>
            <w:r w:rsidR="00761629">
              <w:rPr>
                <w:webHidden/>
              </w:rPr>
              <w:tab/>
            </w:r>
            <w:r w:rsidR="00761629">
              <w:rPr>
                <w:webHidden/>
              </w:rPr>
              <w:fldChar w:fldCharType="begin"/>
            </w:r>
            <w:r w:rsidR="00761629">
              <w:rPr>
                <w:webHidden/>
              </w:rPr>
              <w:instrText xml:space="preserve"> PAGEREF _Toc41053666 \h </w:instrText>
            </w:r>
            <w:r w:rsidR="00761629">
              <w:rPr>
                <w:webHidden/>
              </w:rPr>
            </w:r>
            <w:r w:rsidR="00761629">
              <w:rPr>
                <w:webHidden/>
              </w:rPr>
              <w:fldChar w:fldCharType="separate"/>
            </w:r>
            <w:r>
              <w:rPr>
                <w:webHidden/>
              </w:rPr>
              <w:t>4</w:t>
            </w:r>
            <w:r w:rsidR="00761629">
              <w:rPr>
                <w:webHidden/>
              </w:rPr>
              <w:fldChar w:fldCharType="end"/>
            </w:r>
          </w:hyperlink>
        </w:p>
        <w:p w14:paraId="3B4BD21E" w14:textId="1DDBEE43" w:rsidR="00761629" w:rsidRDefault="004373E7">
          <w:pPr>
            <w:pStyle w:val="TOC1"/>
            <w:rPr>
              <w:rFonts w:asciiTheme="minorHAnsi" w:eastAsiaTheme="minorEastAsia" w:hAnsiTheme="minorHAnsi" w:cstheme="minorBidi"/>
              <w:b w:val="0"/>
              <w:caps w:val="0"/>
              <w:color w:val="auto"/>
              <w:kern w:val="0"/>
              <w:szCs w:val="22"/>
              <w:lang w:val="en-US" w:eastAsia="en-US"/>
              <w14:ligatures w14:val="none"/>
            </w:rPr>
          </w:pPr>
          <w:hyperlink w:anchor="_Toc41053667" w:history="1">
            <w:r w:rsidR="00761629" w:rsidRPr="006D0E38">
              <w:rPr>
                <w:rStyle w:val="Hyperlink"/>
                <w:lang w:val="fr-CA"/>
              </w:rPr>
              <w:t xml:space="preserve">Chapitre 1 : Plans d’embauchage des Inuits  au GN selon le chapitre 23 </w:t>
            </w:r>
            <w:r w:rsidR="00761629">
              <w:rPr>
                <w:rStyle w:val="Hyperlink"/>
                <w:lang w:val="fr-CA"/>
              </w:rPr>
              <w:br/>
            </w:r>
            <w:r w:rsidR="00761629" w:rsidRPr="006D0E38">
              <w:rPr>
                <w:rStyle w:val="Hyperlink"/>
                <w:lang w:val="fr-CA"/>
              </w:rPr>
              <w:t>de l’Accord du Nunavut</w:t>
            </w:r>
            <w:r w:rsidR="00761629">
              <w:rPr>
                <w:webHidden/>
              </w:rPr>
              <w:tab/>
            </w:r>
            <w:r w:rsidR="00761629">
              <w:rPr>
                <w:webHidden/>
              </w:rPr>
              <w:fldChar w:fldCharType="begin"/>
            </w:r>
            <w:r w:rsidR="00761629">
              <w:rPr>
                <w:webHidden/>
              </w:rPr>
              <w:instrText xml:space="preserve"> PAGEREF _Toc41053667 \h </w:instrText>
            </w:r>
            <w:r w:rsidR="00761629">
              <w:rPr>
                <w:webHidden/>
              </w:rPr>
            </w:r>
            <w:r w:rsidR="00761629">
              <w:rPr>
                <w:webHidden/>
              </w:rPr>
              <w:fldChar w:fldCharType="separate"/>
            </w:r>
            <w:r>
              <w:rPr>
                <w:webHidden/>
              </w:rPr>
              <w:t>6</w:t>
            </w:r>
            <w:r w:rsidR="00761629">
              <w:rPr>
                <w:webHidden/>
              </w:rPr>
              <w:fldChar w:fldCharType="end"/>
            </w:r>
          </w:hyperlink>
        </w:p>
        <w:p w14:paraId="66C8A882" w14:textId="5B3D6610" w:rsidR="00761629" w:rsidRDefault="004373E7">
          <w:pPr>
            <w:pStyle w:val="TOC2"/>
            <w:rPr>
              <w:rFonts w:asciiTheme="minorHAnsi" w:eastAsiaTheme="minorEastAsia" w:hAnsiTheme="minorHAnsi" w:cstheme="minorBidi"/>
              <w:kern w:val="0"/>
              <w:szCs w:val="22"/>
              <w:lang w:val="en-US" w:eastAsia="en-US"/>
              <w14:ligatures w14:val="none"/>
            </w:rPr>
          </w:pPr>
          <w:hyperlink w:anchor="_Toc41053668" w:history="1">
            <w:r w:rsidR="00761629" w:rsidRPr="006D0E38">
              <w:rPr>
                <w:rStyle w:val="Hyperlink"/>
                <w:bCs/>
                <w:lang w:val="fr-CA"/>
              </w:rPr>
              <w:t>Accord du Nunavut (1993)</w:t>
            </w:r>
            <w:r w:rsidR="00761629">
              <w:rPr>
                <w:webHidden/>
              </w:rPr>
              <w:tab/>
            </w:r>
            <w:r w:rsidR="00761629">
              <w:rPr>
                <w:webHidden/>
              </w:rPr>
              <w:fldChar w:fldCharType="begin"/>
            </w:r>
            <w:r w:rsidR="00761629">
              <w:rPr>
                <w:webHidden/>
              </w:rPr>
              <w:instrText xml:space="preserve"> PAGEREF _Toc41053668 \h </w:instrText>
            </w:r>
            <w:r w:rsidR="00761629">
              <w:rPr>
                <w:webHidden/>
              </w:rPr>
            </w:r>
            <w:r w:rsidR="00761629">
              <w:rPr>
                <w:webHidden/>
              </w:rPr>
              <w:fldChar w:fldCharType="separate"/>
            </w:r>
            <w:r>
              <w:rPr>
                <w:webHidden/>
              </w:rPr>
              <w:t>6</w:t>
            </w:r>
            <w:r w:rsidR="00761629">
              <w:rPr>
                <w:webHidden/>
              </w:rPr>
              <w:fldChar w:fldCharType="end"/>
            </w:r>
          </w:hyperlink>
        </w:p>
        <w:p w14:paraId="3AF55FD7" w14:textId="27B8CC6E" w:rsidR="00761629" w:rsidRDefault="004373E7">
          <w:pPr>
            <w:pStyle w:val="TOC3"/>
            <w:rPr>
              <w:rFonts w:asciiTheme="minorHAnsi" w:eastAsiaTheme="minorEastAsia" w:hAnsiTheme="minorHAnsi" w:cstheme="minorBidi"/>
              <w:kern w:val="0"/>
              <w:szCs w:val="22"/>
              <w:lang w:val="en-US" w:eastAsia="en-US"/>
              <w14:ligatures w14:val="none"/>
            </w:rPr>
          </w:pPr>
          <w:hyperlink w:anchor="_Toc41053669" w:history="1">
            <w:r w:rsidR="00761629" w:rsidRPr="006D0E38">
              <w:rPr>
                <w:rStyle w:val="Hyperlink"/>
                <w:bCs/>
                <w:lang w:val="fr-CA"/>
              </w:rPr>
              <w:t>Chapitre 23</w:t>
            </w:r>
            <w:r w:rsidR="00761629">
              <w:rPr>
                <w:webHidden/>
              </w:rPr>
              <w:tab/>
            </w:r>
            <w:r w:rsidR="00761629">
              <w:rPr>
                <w:webHidden/>
              </w:rPr>
              <w:fldChar w:fldCharType="begin"/>
            </w:r>
            <w:r w:rsidR="00761629">
              <w:rPr>
                <w:webHidden/>
              </w:rPr>
              <w:instrText xml:space="preserve"> PAGEREF _Toc41053669 \h </w:instrText>
            </w:r>
            <w:r w:rsidR="00761629">
              <w:rPr>
                <w:webHidden/>
              </w:rPr>
            </w:r>
            <w:r w:rsidR="00761629">
              <w:rPr>
                <w:webHidden/>
              </w:rPr>
              <w:fldChar w:fldCharType="separate"/>
            </w:r>
            <w:r>
              <w:rPr>
                <w:webHidden/>
              </w:rPr>
              <w:t>6</w:t>
            </w:r>
            <w:r w:rsidR="00761629">
              <w:rPr>
                <w:webHidden/>
              </w:rPr>
              <w:fldChar w:fldCharType="end"/>
            </w:r>
          </w:hyperlink>
        </w:p>
        <w:p w14:paraId="726A820F" w14:textId="643BB909" w:rsidR="00761629" w:rsidRDefault="004373E7">
          <w:pPr>
            <w:pStyle w:val="TOC2"/>
            <w:rPr>
              <w:rFonts w:asciiTheme="minorHAnsi" w:eastAsiaTheme="minorEastAsia" w:hAnsiTheme="minorHAnsi" w:cstheme="minorBidi"/>
              <w:kern w:val="0"/>
              <w:szCs w:val="22"/>
              <w:lang w:val="en-US" w:eastAsia="en-US"/>
              <w14:ligatures w14:val="none"/>
            </w:rPr>
          </w:pPr>
          <w:hyperlink w:anchor="_Toc41053670" w:history="1">
            <w:r w:rsidR="00761629" w:rsidRPr="006D0E38">
              <w:rPr>
                <w:rStyle w:val="Hyperlink"/>
                <w:bCs/>
                <w:lang w:val="fr-CA"/>
              </w:rPr>
              <w:t>Entente de règlement (2015)</w:t>
            </w:r>
            <w:r w:rsidR="00761629">
              <w:rPr>
                <w:webHidden/>
              </w:rPr>
              <w:tab/>
            </w:r>
            <w:r w:rsidR="00761629">
              <w:rPr>
                <w:webHidden/>
              </w:rPr>
              <w:fldChar w:fldCharType="begin"/>
            </w:r>
            <w:r w:rsidR="00761629">
              <w:rPr>
                <w:webHidden/>
              </w:rPr>
              <w:instrText xml:space="preserve"> PAGEREF _Toc41053670 \h </w:instrText>
            </w:r>
            <w:r w:rsidR="00761629">
              <w:rPr>
                <w:webHidden/>
              </w:rPr>
            </w:r>
            <w:r w:rsidR="00761629">
              <w:rPr>
                <w:webHidden/>
              </w:rPr>
              <w:fldChar w:fldCharType="separate"/>
            </w:r>
            <w:r>
              <w:rPr>
                <w:webHidden/>
              </w:rPr>
              <w:t>8</w:t>
            </w:r>
            <w:r w:rsidR="00761629">
              <w:rPr>
                <w:webHidden/>
              </w:rPr>
              <w:fldChar w:fldCharType="end"/>
            </w:r>
          </w:hyperlink>
        </w:p>
        <w:p w14:paraId="7B0C7A2C" w14:textId="4BF0B6CA" w:rsidR="00761629" w:rsidRDefault="004373E7">
          <w:pPr>
            <w:pStyle w:val="TOC2"/>
            <w:rPr>
              <w:rFonts w:asciiTheme="minorHAnsi" w:eastAsiaTheme="minorEastAsia" w:hAnsiTheme="minorHAnsi" w:cstheme="minorBidi"/>
              <w:kern w:val="0"/>
              <w:szCs w:val="22"/>
              <w:lang w:val="en-US" w:eastAsia="en-US"/>
              <w14:ligatures w14:val="none"/>
            </w:rPr>
          </w:pPr>
          <w:hyperlink w:anchor="_Toc41053671" w:history="1">
            <w:r w:rsidR="00761629" w:rsidRPr="006D0E38">
              <w:rPr>
                <w:rStyle w:val="Hyperlink"/>
                <w:bCs/>
                <w:lang w:val="fr-CA"/>
              </w:rPr>
              <w:t>Un plan directeur d’embauchage des Inuits pour le GN</w:t>
            </w:r>
            <w:r w:rsidR="00761629">
              <w:rPr>
                <w:webHidden/>
              </w:rPr>
              <w:tab/>
            </w:r>
            <w:r w:rsidR="00761629">
              <w:rPr>
                <w:webHidden/>
              </w:rPr>
              <w:fldChar w:fldCharType="begin"/>
            </w:r>
            <w:r w:rsidR="00761629">
              <w:rPr>
                <w:webHidden/>
              </w:rPr>
              <w:instrText xml:space="preserve"> PAGEREF _Toc41053671 \h </w:instrText>
            </w:r>
            <w:r w:rsidR="00761629">
              <w:rPr>
                <w:webHidden/>
              </w:rPr>
            </w:r>
            <w:r w:rsidR="00761629">
              <w:rPr>
                <w:webHidden/>
              </w:rPr>
              <w:fldChar w:fldCharType="separate"/>
            </w:r>
            <w:r>
              <w:rPr>
                <w:webHidden/>
              </w:rPr>
              <w:t>9</w:t>
            </w:r>
            <w:r w:rsidR="00761629">
              <w:rPr>
                <w:webHidden/>
              </w:rPr>
              <w:fldChar w:fldCharType="end"/>
            </w:r>
          </w:hyperlink>
        </w:p>
        <w:p w14:paraId="28B7EC70" w14:textId="6310C659" w:rsidR="00761629" w:rsidRDefault="004373E7">
          <w:pPr>
            <w:pStyle w:val="TOC2"/>
            <w:rPr>
              <w:rFonts w:asciiTheme="minorHAnsi" w:eastAsiaTheme="minorEastAsia" w:hAnsiTheme="minorHAnsi" w:cstheme="minorBidi"/>
              <w:kern w:val="0"/>
              <w:szCs w:val="22"/>
              <w:lang w:val="en-US" w:eastAsia="en-US"/>
              <w14:ligatures w14:val="none"/>
            </w:rPr>
          </w:pPr>
          <w:hyperlink w:anchor="_Toc41053672" w:history="1">
            <w:r w:rsidR="00761629" w:rsidRPr="006D0E38">
              <w:rPr>
                <w:rStyle w:val="Hyperlink"/>
                <w:bCs/>
                <w:lang w:val="fr-CA"/>
              </w:rPr>
              <w:t>Responsabilité en matière de plans d’embauchage des Inuits</w:t>
            </w:r>
            <w:r w:rsidR="00761629">
              <w:rPr>
                <w:webHidden/>
              </w:rPr>
              <w:tab/>
            </w:r>
            <w:r w:rsidR="00761629">
              <w:rPr>
                <w:webHidden/>
              </w:rPr>
              <w:fldChar w:fldCharType="begin"/>
            </w:r>
            <w:r w:rsidR="00761629">
              <w:rPr>
                <w:webHidden/>
              </w:rPr>
              <w:instrText xml:space="preserve"> PAGEREF _Toc41053672 \h </w:instrText>
            </w:r>
            <w:r w:rsidR="00761629">
              <w:rPr>
                <w:webHidden/>
              </w:rPr>
            </w:r>
            <w:r w:rsidR="00761629">
              <w:rPr>
                <w:webHidden/>
              </w:rPr>
              <w:fldChar w:fldCharType="separate"/>
            </w:r>
            <w:r>
              <w:rPr>
                <w:webHidden/>
              </w:rPr>
              <w:t>10</w:t>
            </w:r>
            <w:r w:rsidR="00761629">
              <w:rPr>
                <w:webHidden/>
              </w:rPr>
              <w:fldChar w:fldCharType="end"/>
            </w:r>
          </w:hyperlink>
        </w:p>
        <w:p w14:paraId="32F6414E" w14:textId="65ABD123" w:rsidR="00761629" w:rsidRDefault="004373E7">
          <w:pPr>
            <w:pStyle w:val="TOC3"/>
            <w:rPr>
              <w:rFonts w:asciiTheme="minorHAnsi" w:eastAsiaTheme="minorEastAsia" w:hAnsiTheme="minorHAnsi" w:cstheme="minorBidi"/>
              <w:kern w:val="0"/>
              <w:szCs w:val="22"/>
              <w:lang w:val="en-US" w:eastAsia="en-US"/>
              <w14:ligatures w14:val="none"/>
            </w:rPr>
          </w:pPr>
          <w:hyperlink w:anchor="_Toc41053673" w:history="1">
            <w:r w:rsidR="00761629" w:rsidRPr="006D0E38">
              <w:rPr>
                <w:rStyle w:val="Hyperlink"/>
                <w:bCs/>
                <w:lang w:val="fr-CA"/>
              </w:rPr>
              <w:t>Responsabilités centrales</w:t>
            </w:r>
            <w:r w:rsidR="00761629">
              <w:rPr>
                <w:webHidden/>
              </w:rPr>
              <w:tab/>
            </w:r>
            <w:r w:rsidR="00761629">
              <w:rPr>
                <w:webHidden/>
              </w:rPr>
              <w:fldChar w:fldCharType="begin"/>
            </w:r>
            <w:r w:rsidR="00761629">
              <w:rPr>
                <w:webHidden/>
              </w:rPr>
              <w:instrText xml:space="preserve"> PAGEREF _Toc41053673 \h </w:instrText>
            </w:r>
            <w:r w:rsidR="00761629">
              <w:rPr>
                <w:webHidden/>
              </w:rPr>
            </w:r>
            <w:r w:rsidR="00761629">
              <w:rPr>
                <w:webHidden/>
              </w:rPr>
              <w:fldChar w:fldCharType="separate"/>
            </w:r>
            <w:r>
              <w:rPr>
                <w:webHidden/>
              </w:rPr>
              <w:t>10</w:t>
            </w:r>
            <w:r w:rsidR="00761629">
              <w:rPr>
                <w:webHidden/>
              </w:rPr>
              <w:fldChar w:fldCharType="end"/>
            </w:r>
          </w:hyperlink>
        </w:p>
        <w:p w14:paraId="2C342527" w14:textId="0B17143E" w:rsidR="00761629" w:rsidRDefault="004373E7">
          <w:pPr>
            <w:pStyle w:val="TOC3"/>
            <w:rPr>
              <w:rFonts w:asciiTheme="minorHAnsi" w:eastAsiaTheme="minorEastAsia" w:hAnsiTheme="minorHAnsi" w:cstheme="minorBidi"/>
              <w:kern w:val="0"/>
              <w:szCs w:val="22"/>
              <w:lang w:val="en-US" w:eastAsia="en-US"/>
              <w14:ligatures w14:val="none"/>
            </w:rPr>
          </w:pPr>
          <w:hyperlink w:anchor="_Toc41053674" w:history="1">
            <w:r w:rsidR="00761629" w:rsidRPr="006D0E38">
              <w:rPr>
                <w:rStyle w:val="Hyperlink"/>
                <w:bCs/>
                <w:lang w:val="fr-CA"/>
              </w:rPr>
              <w:t>Responsabilités ministérielles</w:t>
            </w:r>
            <w:r w:rsidR="00761629">
              <w:rPr>
                <w:webHidden/>
              </w:rPr>
              <w:tab/>
            </w:r>
            <w:r w:rsidR="00761629">
              <w:rPr>
                <w:webHidden/>
              </w:rPr>
              <w:fldChar w:fldCharType="begin"/>
            </w:r>
            <w:r w:rsidR="00761629">
              <w:rPr>
                <w:webHidden/>
              </w:rPr>
              <w:instrText xml:space="preserve"> PAGEREF _Toc41053674 \h </w:instrText>
            </w:r>
            <w:r w:rsidR="00761629">
              <w:rPr>
                <w:webHidden/>
              </w:rPr>
            </w:r>
            <w:r w:rsidR="00761629">
              <w:rPr>
                <w:webHidden/>
              </w:rPr>
              <w:fldChar w:fldCharType="separate"/>
            </w:r>
            <w:r>
              <w:rPr>
                <w:webHidden/>
              </w:rPr>
              <w:t>10</w:t>
            </w:r>
            <w:r w:rsidR="00761629">
              <w:rPr>
                <w:webHidden/>
              </w:rPr>
              <w:fldChar w:fldCharType="end"/>
            </w:r>
          </w:hyperlink>
        </w:p>
        <w:p w14:paraId="67821E82" w14:textId="4349921E" w:rsidR="00761629" w:rsidRDefault="004373E7">
          <w:pPr>
            <w:pStyle w:val="TOC1"/>
            <w:rPr>
              <w:rFonts w:asciiTheme="minorHAnsi" w:eastAsiaTheme="minorEastAsia" w:hAnsiTheme="minorHAnsi" w:cstheme="minorBidi"/>
              <w:b w:val="0"/>
              <w:caps w:val="0"/>
              <w:color w:val="auto"/>
              <w:kern w:val="0"/>
              <w:szCs w:val="22"/>
              <w:lang w:val="en-US" w:eastAsia="en-US"/>
              <w14:ligatures w14:val="none"/>
            </w:rPr>
          </w:pPr>
          <w:hyperlink w:anchor="_Toc41053675" w:history="1">
            <w:r w:rsidR="00761629" w:rsidRPr="006D0E38">
              <w:rPr>
                <w:rStyle w:val="Hyperlink"/>
                <w:lang w:val="fr-CA"/>
              </w:rPr>
              <w:t>Chapitre 2 : Description du Collège</w:t>
            </w:r>
            <w:r w:rsidR="00761629">
              <w:rPr>
                <w:webHidden/>
              </w:rPr>
              <w:tab/>
            </w:r>
            <w:r w:rsidR="00761629">
              <w:rPr>
                <w:webHidden/>
              </w:rPr>
              <w:fldChar w:fldCharType="begin"/>
            </w:r>
            <w:r w:rsidR="00761629">
              <w:rPr>
                <w:webHidden/>
              </w:rPr>
              <w:instrText xml:space="preserve"> PAGEREF _Toc41053675 \h </w:instrText>
            </w:r>
            <w:r w:rsidR="00761629">
              <w:rPr>
                <w:webHidden/>
              </w:rPr>
            </w:r>
            <w:r w:rsidR="00761629">
              <w:rPr>
                <w:webHidden/>
              </w:rPr>
              <w:fldChar w:fldCharType="separate"/>
            </w:r>
            <w:r>
              <w:rPr>
                <w:webHidden/>
              </w:rPr>
              <w:t>11</w:t>
            </w:r>
            <w:r w:rsidR="00761629">
              <w:rPr>
                <w:webHidden/>
              </w:rPr>
              <w:fldChar w:fldCharType="end"/>
            </w:r>
          </w:hyperlink>
        </w:p>
        <w:p w14:paraId="05D95D29" w14:textId="2E730F8C" w:rsidR="00761629" w:rsidRDefault="004373E7">
          <w:pPr>
            <w:pStyle w:val="TOC2"/>
            <w:rPr>
              <w:rFonts w:asciiTheme="minorHAnsi" w:eastAsiaTheme="minorEastAsia" w:hAnsiTheme="minorHAnsi" w:cstheme="minorBidi"/>
              <w:kern w:val="0"/>
              <w:szCs w:val="22"/>
              <w:lang w:val="en-US" w:eastAsia="en-US"/>
              <w14:ligatures w14:val="none"/>
            </w:rPr>
          </w:pPr>
          <w:hyperlink w:anchor="_Toc41053676" w:history="1">
            <w:r w:rsidR="00761629" w:rsidRPr="006D0E38">
              <w:rPr>
                <w:rStyle w:val="Hyperlink"/>
                <w:bCs/>
                <w:lang w:val="fr-CA"/>
              </w:rPr>
              <w:t>Brève histoire du Collège</w:t>
            </w:r>
            <w:r w:rsidR="00761629">
              <w:rPr>
                <w:webHidden/>
              </w:rPr>
              <w:tab/>
            </w:r>
            <w:r w:rsidR="00761629">
              <w:rPr>
                <w:webHidden/>
              </w:rPr>
              <w:fldChar w:fldCharType="begin"/>
            </w:r>
            <w:r w:rsidR="00761629">
              <w:rPr>
                <w:webHidden/>
              </w:rPr>
              <w:instrText xml:space="preserve"> PAGEREF _Toc41053676 \h </w:instrText>
            </w:r>
            <w:r w:rsidR="00761629">
              <w:rPr>
                <w:webHidden/>
              </w:rPr>
            </w:r>
            <w:r w:rsidR="00761629">
              <w:rPr>
                <w:webHidden/>
              </w:rPr>
              <w:fldChar w:fldCharType="separate"/>
            </w:r>
            <w:r>
              <w:rPr>
                <w:webHidden/>
              </w:rPr>
              <w:t>11</w:t>
            </w:r>
            <w:r w:rsidR="00761629">
              <w:rPr>
                <w:webHidden/>
              </w:rPr>
              <w:fldChar w:fldCharType="end"/>
            </w:r>
          </w:hyperlink>
        </w:p>
        <w:p w14:paraId="7ED7B200" w14:textId="10C29A36" w:rsidR="00761629" w:rsidRDefault="004373E7">
          <w:pPr>
            <w:pStyle w:val="TOC2"/>
            <w:rPr>
              <w:rFonts w:asciiTheme="minorHAnsi" w:eastAsiaTheme="minorEastAsia" w:hAnsiTheme="minorHAnsi" w:cstheme="minorBidi"/>
              <w:kern w:val="0"/>
              <w:szCs w:val="22"/>
              <w:lang w:val="en-US" w:eastAsia="en-US"/>
              <w14:ligatures w14:val="none"/>
            </w:rPr>
          </w:pPr>
          <w:hyperlink w:anchor="_Toc41053677" w:history="1">
            <w:r w:rsidR="00761629" w:rsidRPr="006D0E38">
              <w:rPr>
                <w:rStyle w:val="Hyperlink"/>
                <w:bCs/>
                <w:lang w:val="fr-CA"/>
              </w:rPr>
              <w:t>Mandat</w:t>
            </w:r>
            <w:r w:rsidR="00761629">
              <w:rPr>
                <w:webHidden/>
              </w:rPr>
              <w:tab/>
            </w:r>
            <w:r w:rsidR="00761629">
              <w:rPr>
                <w:webHidden/>
              </w:rPr>
              <w:fldChar w:fldCharType="begin"/>
            </w:r>
            <w:r w:rsidR="00761629">
              <w:rPr>
                <w:webHidden/>
              </w:rPr>
              <w:instrText xml:space="preserve"> PAGEREF _Toc41053677 \h </w:instrText>
            </w:r>
            <w:r w:rsidR="00761629">
              <w:rPr>
                <w:webHidden/>
              </w:rPr>
            </w:r>
            <w:r w:rsidR="00761629">
              <w:rPr>
                <w:webHidden/>
              </w:rPr>
              <w:fldChar w:fldCharType="separate"/>
            </w:r>
            <w:r>
              <w:rPr>
                <w:webHidden/>
              </w:rPr>
              <w:t>11</w:t>
            </w:r>
            <w:r w:rsidR="00761629">
              <w:rPr>
                <w:webHidden/>
              </w:rPr>
              <w:fldChar w:fldCharType="end"/>
            </w:r>
          </w:hyperlink>
        </w:p>
        <w:p w14:paraId="33D4AE79" w14:textId="123B35AB" w:rsidR="00761629" w:rsidRDefault="004373E7">
          <w:pPr>
            <w:pStyle w:val="TOC3"/>
            <w:rPr>
              <w:rFonts w:asciiTheme="minorHAnsi" w:eastAsiaTheme="minorEastAsia" w:hAnsiTheme="minorHAnsi" w:cstheme="minorBidi"/>
              <w:kern w:val="0"/>
              <w:szCs w:val="22"/>
              <w:lang w:val="en-US" w:eastAsia="en-US"/>
              <w14:ligatures w14:val="none"/>
            </w:rPr>
          </w:pPr>
          <w:hyperlink w:anchor="_Toc41053678" w:history="1">
            <w:r w:rsidR="00761629" w:rsidRPr="006D0E38">
              <w:rPr>
                <w:rStyle w:val="Hyperlink"/>
                <w:bCs/>
                <w:lang w:val="fr-CA"/>
              </w:rPr>
              <w:t>Mission</w:t>
            </w:r>
            <w:r w:rsidR="00761629">
              <w:rPr>
                <w:webHidden/>
              </w:rPr>
              <w:tab/>
            </w:r>
            <w:r w:rsidR="00761629">
              <w:rPr>
                <w:webHidden/>
              </w:rPr>
              <w:fldChar w:fldCharType="begin"/>
            </w:r>
            <w:r w:rsidR="00761629">
              <w:rPr>
                <w:webHidden/>
              </w:rPr>
              <w:instrText xml:space="preserve"> PAGEREF _Toc41053678 \h </w:instrText>
            </w:r>
            <w:r w:rsidR="00761629">
              <w:rPr>
                <w:webHidden/>
              </w:rPr>
            </w:r>
            <w:r w:rsidR="00761629">
              <w:rPr>
                <w:webHidden/>
              </w:rPr>
              <w:fldChar w:fldCharType="separate"/>
            </w:r>
            <w:r>
              <w:rPr>
                <w:webHidden/>
              </w:rPr>
              <w:t>11</w:t>
            </w:r>
            <w:r w:rsidR="00761629">
              <w:rPr>
                <w:webHidden/>
              </w:rPr>
              <w:fldChar w:fldCharType="end"/>
            </w:r>
          </w:hyperlink>
        </w:p>
        <w:p w14:paraId="01363732" w14:textId="6AA4DDA6" w:rsidR="00761629" w:rsidRDefault="004373E7">
          <w:pPr>
            <w:pStyle w:val="TOC3"/>
            <w:rPr>
              <w:rFonts w:asciiTheme="minorHAnsi" w:eastAsiaTheme="minorEastAsia" w:hAnsiTheme="minorHAnsi" w:cstheme="minorBidi"/>
              <w:kern w:val="0"/>
              <w:szCs w:val="22"/>
              <w:lang w:val="en-US" w:eastAsia="en-US"/>
              <w14:ligatures w14:val="none"/>
            </w:rPr>
          </w:pPr>
          <w:hyperlink w:anchor="_Toc41053679" w:history="1">
            <w:r w:rsidR="00761629" w:rsidRPr="006D0E38">
              <w:rPr>
                <w:rStyle w:val="Hyperlink"/>
                <w:bCs/>
                <w:lang w:val="fr-CA"/>
              </w:rPr>
              <w:t>Principes</w:t>
            </w:r>
            <w:r w:rsidR="00761629">
              <w:rPr>
                <w:webHidden/>
              </w:rPr>
              <w:tab/>
            </w:r>
            <w:r w:rsidR="00761629">
              <w:rPr>
                <w:webHidden/>
              </w:rPr>
              <w:fldChar w:fldCharType="begin"/>
            </w:r>
            <w:r w:rsidR="00761629">
              <w:rPr>
                <w:webHidden/>
              </w:rPr>
              <w:instrText xml:space="preserve"> PAGEREF _Toc41053679 \h </w:instrText>
            </w:r>
            <w:r w:rsidR="00761629">
              <w:rPr>
                <w:webHidden/>
              </w:rPr>
            </w:r>
            <w:r w:rsidR="00761629">
              <w:rPr>
                <w:webHidden/>
              </w:rPr>
              <w:fldChar w:fldCharType="separate"/>
            </w:r>
            <w:r>
              <w:rPr>
                <w:webHidden/>
              </w:rPr>
              <w:t>11</w:t>
            </w:r>
            <w:r w:rsidR="00761629">
              <w:rPr>
                <w:webHidden/>
              </w:rPr>
              <w:fldChar w:fldCharType="end"/>
            </w:r>
          </w:hyperlink>
        </w:p>
        <w:p w14:paraId="17F02779" w14:textId="6456DF19" w:rsidR="00761629" w:rsidRDefault="004373E7">
          <w:pPr>
            <w:pStyle w:val="TOC3"/>
            <w:rPr>
              <w:rFonts w:asciiTheme="minorHAnsi" w:eastAsiaTheme="minorEastAsia" w:hAnsiTheme="minorHAnsi" w:cstheme="minorBidi"/>
              <w:kern w:val="0"/>
              <w:szCs w:val="22"/>
              <w:lang w:val="en-US" w:eastAsia="en-US"/>
              <w14:ligatures w14:val="none"/>
            </w:rPr>
          </w:pPr>
          <w:hyperlink w:anchor="_Toc41053680" w:history="1">
            <w:r w:rsidR="00761629" w:rsidRPr="006D0E38">
              <w:rPr>
                <w:rStyle w:val="Hyperlink"/>
                <w:bCs/>
                <w:lang w:val="fr-CA"/>
              </w:rPr>
              <w:t>Objectifs stratégiques</w:t>
            </w:r>
            <w:r w:rsidR="00761629">
              <w:rPr>
                <w:webHidden/>
              </w:rPr>
              <w:tab/>
            </w:r>
            <w:r w:rsidR="00761629">
              <w:rPr>
                <w:webHidden/>
              </w:rPr>
              <w:fldChar w:fldCharType="begin"/>
            </w:r>
            <w:r w:rsidR="00761629">
              <w:rPr>
                <w:webHidden/>
              </w:rPr>
              <w:instrText xml:space="preserve"> PAGEREF _Toc41053680 \h </w:instrText>
            </w:r>
            <w:r w:rsidR="00761629">
              <w:rPr>
                <w:webHidden/>
              </w:rPr>
            </w:r>
            <w:r w:rsidR="00761629">
              <w:rPr>
                <w:webHidden/>
              </w:rPr>
              <w:fldChar w:fldCharType="separate"/>
            </w:r>
            <w:r>
              <w:rPr>
                <w:webHidden/>
              </w:rPr>
              <w:t>12</w:t>
            </w:r>
            <w:r w:rsidR="00761629">
              <w:rPr>
                <w:webHidden/>
              </w:rPr>
              <w:fldChar w:fldCharType="end"/>
            </w:r>
          </w:hyperlink>
        </w:p>
        <w:p w14:paraId="73270A2C" w14:textId="61FB0FF6" w:rsidR="00761629" w:rsidRDefault="004373E7">
          <w:pPr>
            <w:pStyle w:val="TOC2"/>
            <w:rPr>
              <w:rFonts w:asciiTheme="minorHAnsi" w:eastAsiaTheme="minorEastAsia" w:hAnsiTheme="minorHAnsi" w:cstheme="minorBidi"/>
              <w:kern w:val="0"/>
              <w:szCs w:val="22"/>
              <w:lang w:val="en-US" w:eastAsia="en-US"/>
              <w14:ligatures w14:val="none"/>
            </w:rPr>
          </w:pPr>
          <w:hyperlink w:anchor="_Toc41053681" w:history="1">
            <w:r w:rsidR="00761629" w:rsidRPr="006D0E38">
              <w:rPr>
                <w:rStyle w:val="Hyperlink"/>
                <w:bCs/>
                <w:lang w:val="fr-CA"/>
              </w:rPr>
              <w:t>Secteurs d’activités et emplacements</w:t>
            </w:r>
            <w:r w:rsidR="00761629">
              <w:rPr>
                <w:webHidden/>
              </w:rPr>
              <w:tab/>
            </w:r>
            <w:r w:rsidR="00761629">
              <w:rPr>
                <w:webHidden/>
              </w:rPr>
              <w:fldChar w:fldCharType="begin"/>
            </w:r>
            <w:r w:rsidR="00761629">
              <w:rPr>
                <w:webHidden/>
              </w:rPr>
              <w:instrText xml:space="preserve"> PAGEREF _Toc41053681 \h </w:instrText>
            </w:r>
            <w:r w:rsidR="00761629">
              <w:rPr>
                <w:webHidden/>
              </w:rPr>
            </w:r>
            <w:r w:rsidR="00761629">
              <w:rPr>
                <w:webHidden/>
              </w:rPr>
              <w:fldChar w:fldCharType="separate"/>
            </w:r>
            <w:r>
              <w:rPr>
                <w:webHidden/>
              </w:rPr>
              <w:t>14</w:t>
            </w:r>
            <w:r w:rsidR="00761629">
              <w:rPr>
                <w:webHidden/>
              </w:rPr>
              <w:fldChar w:fldCharType="end"/>
            </w:r>
          </w:hyperlink>
        </w:p>
        <w:p w14:paraId="3BBE2EB0" w14:textId="3EA2C950" w:rsidR="00761629" w:rsidRDefault="004373E7">
          <w:pPr>
            <w:pStyle w:val="TOC3"/>
            <w:rPr>
              <w:rFonts w:asciiTheme="minorHAnsi" w:eastAsiaTheme="minorEastAsia" w:hAnsiTheme="minorHAnsi" w:cstheme="minorBidi"/>
              <w:kern w:val="0"/>
              <w:szCs w:val="22"/>
              <w:lang w:val="en-US" w:eastAsia="en-US"/>
              <w14:ligatures w14:val="none"/>
            </w:rPr>
          </w:pPr>
          <w:hyperlink w:anchor="_Toc41053682" w:history="1">
            <w:r w:rsidR="00761629" w:rsidRPr="006D0E38">
              <w:rPr>
                <w:rStyle w:val="Hyperlink"/>
                <w:bCs/>
                <w:lang w:val="fr-CA"/>
              </w:rPr>
              <w:t>Langue et culture inuites</w:t>
            </w:r>
            <w:r w:rsidR="00761629">
              <w:rPr>
                <w:webHidden/>
              </w:rPr>
              <w:tab/>
            </w:r>
            <w:r w:rsidR="00761629">
              <w:rPr>
                <w:webHidden/>
              </w:rPr>
              <w:fldChar w:fldCharType="begin"/>
            </w:r>
            <w:r w:rsidR="00761629">
              <w:rPr>
                <w:webHidden/>
              </w:rPr>
              <w:instrText xml:space="preserve"> PAGEREF _Toc41053682 \h </w:instrText>
            </w:r>
            <w:r w:rsidR="00761629">
              <w:rPr>
                <w:webHidden/>
              </w:rPr>
            </w:r>
            <w:r w:rsidR="00761629">
              <w:rPr>
                <w:webHidden/>
              </w:rPr>
              <w:fldChar w:fldCharType="separate"/>
            </w:r>
            <w:r>
              <w:rPr>
                <w:webHidden/>
              </w:rPr>
              <w:t>14</w:t>
            </w:r>
            <w:r w:rsidR="00761629">
              <w:rPr>
                <w:webHidden/>
              </w:rPr>
              <w:fldChar w:fldCharType="end"/>
            </w:r>
          </w:hyperlink>
        </w:p>
        <w:p w14:paraId="0A11D900" w14:textId="04ECD1B4" w:rsidR="00761629" w:rsidRDefault="004373E7">
          <w:pPr>
            <w:pStyle w:val="TOC3"/>
            <w:rPr>
              <w:rFonts w:asciiTheme="minorHAnsi" w:eastAsiaTheme="minorEastAsia" w:hAnsiTheme="minorHAnsi" w:cstheme="minorBidi"/>
              <w:kern w:val="0"/>
              <w:szCs w:val="22"/>
              <w:lang w:val="en-US" w:eastAsia="en-US"/>
              <w14:ligatures w14:val="none"/>
            </w:rPr>
          </w:pPr>
          <w:hyperlink w:anchor="_Toc41053683" w:history="1">
            <w:r w:rsidR="00761629" w:rsidRPr="006D0E38">
              <w:rPr>
                <w:rStyle w:val="Hyperlink"/>
                <w:bCs/>
                <w:lang w:val="fr-CA"/>
              </w:rPr>
              <w:t>Apprentissage communautaire et à distance</w:t>
            </w:r>
            <w:r w:rsidR="00761629">
              <w:rPr>
                <w:webHidden/>
              </w:rPr>
              <w:tab/>
            </w:r>
            <w:r w:rsidR="00761629">
              <w:rPr>
                <w:webHidden/>
              </w:rPr>
              <w:fldChar w:fldCharType="begin"/>
            </w:r>
            <w:r w:rsidR="00761629">
              <w:rPr>
                <w:webHidden/>
              </w:rPr>
              <w:instrText xml:space="preserve"> PAGEREF _Toc41053683 \h </w:instrText>
            </w:r>
            <w:r w:rsidR="00761629">
              <w:rPr>
                <w:webHidden/>
              </w:rPr>
            </w:r>
            <w:r w:rsidR="00761629">
              <w:rPr>
                <w:webHidden/>
              </w:rPr>
              <w:fldChar w:fldCharType="separate"/>
            </w:r>
            <w:r>
              <w:rPr>
                <w:webHidden/>
              </w:rPr>
              <w:t>15</w:t>
            </w:r>
            <w:r w:rsidR="00761629">
              <w:rPr>
                <w:webHidden/>
              </w:rPr>
              <w:fldChar w:fldCharType="end"/>
            </w:r>
          </w:hyperlink>
        </w:p>
        <w:p w14:paraId="69BE9E47" w14:textId="7DF0502C" w:rsidR="00761629" w:rsidRDefault="004373E7">
          <w:pPr>
            <w:pStyle w:val="TOC3"/>
            <w:rPr>
              <w:rFonts w:asciiTheme="minorHAnsi" w:eastAsiaTheme="minorEastAsia" w:hAnsiTheme="minorHAnsi" w:cstheme="minorBidi"/>
              <w:kern w:val="0"/>
              <w:szCs w:val="22"/>
              <w:lang w:val="en-US" w:eastAsia="en-US"/>
              <w14:ligatures w14:val="none"/>
            </w:rPr>
          </w:pPr>
          <w:hyperlink w:anchor="_Toc41053684" w:history="1">
            <w:r w:rsidR="00761629" w:rsidRPr="006D0E38">
              <w:rPr>
                <w:rStyle w:val="Hyperlink"/>
                <w:bCs/>
                <w:lang w:val="fr-CA"/>
              </w:rPr>
              <w:t>Carrières en affaires et perfectionnement de la main-d’œuvre</w:t>
            </w:r>
            <w:r w:rsidR="00761629">
              <w:rPr>
                <w:webHidden/>
              </w:rPr>
              <w:tab/>
            </w:r>
            <w:r w:rsidR="00761629">
              <w:rPr>
                <w:webHidden/>
              </w:rPr>
              <w:fldChar w:fldCharType="begin"/>
            </w:r>
            <w:r w:rsidR="00761629">
              <w:rPr>
                <w:webHidden/>
              </w:rPr>
              <w:instrText xml:space="preserve"> PAGEREF _Toc41053684 \h </w:instrText>
            </w:r>
            <w:r w:rsidR="00761629">
              <w:rPr>
                <w:webHidden/>
              </w:rPr>
            </w:r>
            <w:r w:rsidR="00761629">
              <w:rPr>
                <w:webHidden/>
              </w:rPr>
              <w:fldChar w:fldCharType="separate"/>
            </w:r>
            <w:r>
              <w:rPr>
                <w:webHidden/>
              </w:rPr>
              <w:t>15</w:t>
            </w:r>
            <w:r w:rsidR="00761629">
              <w:rPr>
                <w:webHidden/>
              </w:rPr>
              <w:fldChar w:fldCharType="end"/>
            </w:r>
          </w:hyperlink>
        </w:p>
        <w:p w14:paraId="50CAFC5C" w14:textId="36064544" w:rsidR="00761629" w:rsidRDefault="004373E7">
          <w:pPr>
            <w:pStyle w:val="TOC3"/>
            <w:rPr>
              <w:rFonts w:asciiTheme="minorHAnsi" w:eastAsiaTheme="minorEastAsia" w:hAnsiTheme="minorHAnsi" w:cstheme="minorBidi"/>
              <w:kern w:val="0"/>
              <w:szCs w:val="22"/>
              <w:lang w:val="en-US" w:eastAsia="en-US"/>
              <w14:ligatures w14:val="none"/>
            </w:rPr>
          </w:pPr>
          <w:hyperlink w:anchor="_Toc41053685" w:history="1">
            <w:r w:rsidR="00761629" w:rsidRPr="006D0E38">
              <w:rPr>
                <w:rStyle w:val="Hyperlink"/>
                <w:bCs/>
                <w:lang w:val="fr-CA"/>
              </w:rPr>
              <w:t>Carrières en éducation</w:t>
            </w:r>
            <w:r w:rsidR="00761629">
              <w:rPr>
                <w:webHidden/>
              </w:rPr>
              <w:tab/>
            </w:r>
            <w:r w:rsidR="00761629">
              <w:rPr>
                <w:webHidden/>
              </w:rPr>
              <w:fldChar w:fldCharType="begin"/>
            </w:r>
            <w:r w:rsidR="00761629">
              <w:rPr>
                <w:webHidden/>
              </w:rPr>
              <w:instrText xml:space="preserve"> PAGEREF _Toc41053685 \h </w:instrText>
            </w:r>
            <w:r w:rsidR="00761629">
              <w:rPr>
                <w:webHidden/>
              </w:rPr>
            </w:r>
            <w:r w:rsidR="00761629">
              <w:rPr>
                <w:webHidden/>
              </w:rPr>
              <w:fldChar w:fldCharType="separate"/>
            </w:r>
            <w:r>
              <w:rPr>
                <w:webHidden/>
              </w:rPr>
              <w:t>15</w:t>
            </w:r>
            <w:r w:rsidR="00761629">
              <w:rPr>
                <w:webHidden/>
              </w:rPr>
              <w:fldChar w:fldCharType="end"/>
            </w:r>
          </w:hyperlink>
        </w:p>
        <w:p w14:paraId="164024D9" w14:textId="56560D32" w:rsidR="00761629" w:rsidRDefault="004373E7">
          <w:pPr>
            <w:pStyle w:val="TOC3"/>
            <w:rPr>
              <w:rFonts w:asciiTheme="minorHAnsi" w:eastAsiaTheme="minorEastAsia" w:hAnsiTheme="minorHAnsi" w:cstheme="minorBidi"/>
              <w:kern w:val="0"/>
              <w:szCs w:val="22"/>
              <w:lang w:val="en-US" w:eastAsia="en-US"/>
              <w14:ligatures w14:val="none"/>
            </w:rPr>
          </w:pPr>
          <w:hyperlink w:anchor="_Toc41053686" w:history="1">
            <w:r w:rsidR="00761629" w:rsidRPr="006D0E38">
              <w:rPr>
                <w:rStyle w:val="Hyperlink"/>
                <w:bCs/>
                <w:lang w:val="fr-CA"/>
              </w:rPr>
              <w:t>Carrières en santé et en bien-être</w:t>
            </w:r>
            <w:r w:rsidR="00761629">
              <w:rPr>
                <w:webHidden/>
              </w:rPr>
              <w:tab/>
            </w:r>
            <w:r w:rsidR="00761629">
              <w:rPr>
                <w:webHidden/>
              </w:rPr>
              <w:fldChar w:fldCharType="begin"/>
            </w:r>
            <w:r w:rsidR="00761629">
              <w:rPr>
                <w:webHidden/>
              </w:rPr>
              <w:instrText xml:space="preserve"> PAGEREF _Toc41053686 \h </w:instrText>
            </w:r>
            <w:r w:rsidR="00761629">
              <w:rPr>
                <w:webHidden/>
              </w:rPr>
            </w:r>
            <w:r w:rsidR="00761629">
              <w:rPr>
                <w:webHidden/>
              </w:rPr>
              <w:fldChar w:fldCharType="separate"/>
            </w:r>
            <w:r>
              <w:rPr>
                <w:webHidden/>
              </w:rPr>
              <w:t>16</w:t>
            </w:r>
            <w:r w:rsidR="00761629">
              <w:rPr>
                <w:webHidden/>
              </w:rPr>
              <w:fldChar w:fldCharType="end"/>
            </w:r>
          </w:hyperlink>
        </w:p>
        <w:p w14:paraId="35D260FD" w14:textId="4907948C" w:rsidR="00761629" w:rsidRDefault="004373E7">
          <w:pPr>
            <w:pStyle w:val="TOC3"/>
            <w:rPr>
              <w:rFonts w:asciiTheme="minorHAnsi" w:eastAsiaTheme="minorEastAsia" w:hAnsiTheme="minorHAnsi" w:cstheme="minorBidi"/>
              <w:kern w:val="0"/>
              <w:szCs w:val="22"/>
              <w:lang w:val="en-US" w:eastAsia="en-US"/>
              <w14:ligatures w14:val="none"/>
            </w:rPr>
          </w:pPr>
          <w:hyperlink w:anchor="_Toc41053687" w:history="1">
            <w:r w:rsidR="00761629" w:rsidRPr="006D0E38">
              <w:rPr>
                <w:rStyle w:val="Hyperlink"/>
                <w:bCs/>
                <w:lang w:val="fr-CA"/>
              </w:rPr>
              <w:t>Carrières dans les métiers et les technologies</w:t>
            </w:r>
            <w:r w:rsidR="00761629">
              <w:rPr>
                <w:webHidden/>
              </w:rPr>
              <w:tab/>
            </w:r>
            <w:r w:rsidR="00761629">
              <w:rPr>
                <w:webHidden/>
              </w:rPr>
              <w:fldChar w:fldCharType="begin"/>
            </w:r>
            <w:r w:rsidR="00761629">
              <w:rPr>
                <w:webHidden/>
              </w:rPr>
              <w:instrText xml:space="preserve"> PAGEREF _Toc41053687 \h </w:instrText>
            </w:r>
            <w:r w:rsidR="00761629">
              <w:rPr>
                <w:webHidden/>
              </w:rPr>
            </w:r>
            <w:r w:rsidR="00761629">
              <w:rPr>
                <w:webHidden/>
              </w:rPr>
              <w:fldChar w:fldCharType="separate"/>
            </w:r>
            <w:r>
              <w:rPr>
                <w:webHidden/>
              </w:rPr>
              <w:t>16</w:t>
            </w:r>
            <w:r w:rsidR="00761629">
              <w:rPr>
                <w:webHidden/>
              </w:rPr>
              <w:fldChar w:fldCharType="end"/>
            </w:r>
          </w:hyperlink>
        </w:p>
        <w:p w14:paraId="62DFA0AD" w14:textId="16D9CB9C" w:rsidR="00761629" w:rsidRDefault="004373E7">
          <w:pPr>
            <w:pStyle w:val="TOC3"/>
            <w:rPr>
              <w:rFonts w:asciiTheme="minorHAnsi" w:eastAsiaTheme="minorEastAsia" w:hAnsiTheme="minorHAnsi" w:cstheme="minorBidi"/>
              <w:kern w:val="0"/>
              <w:szCs w:val="22"/>
              <w:lang w:val="en-US" w:eastAsia="en-US"/>
              <w14:ligatures w14:val="none"/>
            </w:rPr>
          </w:pPr>
          <w:hyperlink w:anchor="_Toc41053688" w:history="1">
            <w:r w:rsidR="00761629" w:rsidRPr="006D0E38">
              <w:rPr>
                <w:rStyle w:val="Hyperlink"/>
                <w:bCs/>
                <w:lang w:val="fr-CA"/>
              </w:rPr>
              <w:t>Institut de recherche et d’innovation du Nunavut</w:t>
            </w:r>
            <w:r w:rsidR="00761629">
              <w:rPr>
                <w:webHidden/>
              </w:rPr>
              <w:tab/>
            </w:r>
            <w:r w:rsidR="00761629">
              <w:rPr>
                <w:webHidden/>
              </w:rPr>
              <w:fldChar w:fldCharType="begin"/>
            </w:r>
            <w:r w:rsidR="00761629">
              <w:rPr>
                <w:webHidden/>
              </w:rPr>
              <w:instrText xml:space="preserve"> PAGEREF _Toc41053688 \h </w:instrText>
            </w:r>
            <w:r w:rsidR="00761629">
              <w:rPr>
                <w:webHidden/>
              </w:rPr>
            </w:r>
            <w:r w:rsidR="00761629">
              <w:rPr>
                <w:webHidden/>
              </w:rPr>
              <w:fldChar w:fldCharType="separate"/>
            </w:r>
            <w:r>
              <w:rPr>
                <w:webHidden/>
              </w:rPr>
              <w:t>16</w:t>
            </w:r>
            <w:r w:rsidR="00761629">
              <w:rPr>
                <w:webHidden/>
              </w:rPr>
              <w:fldChar w:fldCharType="end"/>
            </w:r>
          </w:hyperlink>
        </w:p>
        <w:p w14:paraId="3823F3BA" w14:textId="781C469A" w:rsidR="00761629" w:rsidRDefault="004373E7">
          <w:pPr>
            <w:pStyle w:val="TOC3"/>
            <w:rPr>
              <w:rFonts w:asciiTheme="minorHAnsi" w:eastAsiaTheme="minorEastAsia" w:hAnsiTheme="minorHAnsi" w:cstheme="minorBidi"/>
              <w:kern w:val="0"/>
              <w:szCs w:val="22"/>
              <w:lang w:val="en-US" w:eastAsia="en-US"/>
              <w14:ligatures w14:val="none"/>
            </w:rPr>
          </w:pPr>
          <w:hyperlink w:anchor="_Toc41053689" w:history="1">
            <w:r w:rsidR="00761629" w:rsidRPr="006D0E38">
              <w:rPr>
                <w:rStyle w:val="Hyperlink"/>
                <w:bCs/>
                <w:lang w:val="fr-CA"/>
              </w:rPr>
              <w:t>Services aux apprenants</w:t>
            </w:r>
            <w:r w:rsidR="00761629">
              <w:rPr>
                <w:webHidden/>
              </w:rPr>
              <w:tab/>
            </w:r>
            <w:r w:rsidR="00761629">
              <w:rPr>
                <w:webHidden/>
              </w:rPr>
              <w:fldChar w:fldCharType="begin"/>
            </w:r>
            <w:r w:rsidR="00761629">
              <w:rPr>
                <w:webHidden/>
              </w:rPr>
              <w:instrText xml:space="preserve"> PAGEREF _Toc41053689 \h </w:instrText>
            </w:r>
            <w:r w:rsidR="00761629">
              <w:rPr>
                <w:webHidden/>
              </w:rPr>
            </w:r>
            <w:r w:rsidR="00761629">
              <w:rPr>
                <w:webHidden/>
              </w:rPr>
              <w:fldChar w:fldCharType="separate"/>
            </w:r>
            <w:r>
              <w:rPr>
                <w:webHidden/>
              </w:rPr>
              <w:t>16</w:t>
            </w:r>
            <w:r w:rsidR="00761629">
              <w:rPr>
                <w:webHidden/>
              </w:rPr>
              <w:fldChar w:fldCharType="end"/>
            </w:r>
          </w:hyperlink>
        </w:p>
        <w:p w14:paraId="5649E91B" w14:textId="5D91340C" w:rsidR="00761629" w:rsidRDefault="004373E7">
          <w:pPr>
            <w:pStyle w:val="TOC3"/>
            <w:rPr>
              <w:rFonts w:asciiTheme="minorHAnsi" w:eastAsiaTheme="minorEastAsia" w:hAnsiTheme="minorHAnsi" w:cstheme="minorBidi"/>
              <w:kern w:val="0"/>
              <w:szCs w:val="22"/>
              <w:lang w:val="en-US" w:eastAsia="en-US"/>
              <w14:ligatures w14:val="none"/>
            </w:rPr>
          </w:pPr>
          <w:hyperlink w:anchor="_Toc41053690" w:history="1">
            <w:r w:rsidR="00761629" w:rsidRPr="006D0E38">
              <w:rPr>
                <w:rStyle w:val="Hyperlink"/>
                <w:bCs/>
                <w:lang w:val="fr-CA"/>
              </w:rPr>
              <w:t>Services administratifs</w:t>
            </w:r>
            <w:r w:rsidR="00761629">
              <w:rPr>
                <w:webHidden/>
              </w:rPr>
              <w:tab/>
            </w:r>
            <w:r w:rsidR="00761629">
              <w:rPr>
                <w:webHidden/>
              </w:rPr>
              <w:fldChar w:fldCharType="begin"/>
            </w:r>
            <w:r w:rsidR="00761629">
              <w:rPr>
                <w:webHidden/>
              </w:rPr>
              <w:instrText xml:space="preserve"> PAGEREF _Toc41053690 \h </w:instrText>
            </w:r>
            <w:r w:rsidR="00761629">
              <w:rPr>
                <w:webHidden/>
              </w:rPr>
            </w:r>
            <w:r w:rsidR="00761629">
              <w:rPr>
                <w:webHidden/>
              </w:rPr>
              <w:fldChar w:fldCharType="separate"/>
            </w:r>
            <w:r>
              <w:rPr>
                <w:webHidden/>
              </w:rPr>
              <w:t>16</w:t>
            </w:r>
            <w:r w:rsidR="00761629">
              <w:rPr>
                <w:webHidden/>
              </w:rPr>
              <w:fldChar w:fldCharType="end"/>
            </w:r>
          </w:hyperlink>
        </w:p>
        <w:p w14:paraId="6C809609" w14:textId="37551FC1" w:rsidR="00761629" w:rsidRDefault="004373E7">
          <w:pPr>
            <w:pStyle w:val="TOC3"/>
            <w:rPr>
              <w:rFonts w:asciiTheme="minorHAnsi" w:eastAsiaTheme="minorEastAsia" w:hAnsiTheme="minorHAnsi" w:cstheme="minorBidi"/>
              <w:kern w:val="0"/>
              <w:szCs w:val="22"/>
              <w:lang w:val="en-US" w:eastAsia="en-US"/>
              <w14:ligatures w14:val="none"/>
            </w:rPr>
          </w:pPr>
          <w:hyperlink w:anchor="_Toc41053691" w:history="1">
            <w:r w:rsidR="00761629" w:rsidRPr="006D0E38">
              <w:rPr>
                <w:rStyle w:val="Hyperlink"/>
                <w:bCs/>
                <w:lang w:val="fr-CA"/>
              </w:rPr>
              <w:t>Programme de droit</w:t>
            </w:r>
            <w:r w:rsidR="00761629">
              <w:rPr>
                <w:webHidden/>
              </w:rPr>
              <w:tab/>
            </w:r>
            <w:r w:rsidR="00761629">
              <w:rPr>
                <w:webHidden/>
              </w:rPr>
              <w:fldChar w:fldCharType="begin"/>
            </w:r>
            <w:r w:rsidR="00761629">
              <w:rPr>
                <w:webHidden/>
              </w:rPr>
              <w:instrText xml:space="preserve"> PAGEREF _Toc41053691 \h </w:instrText>
            </w:r>
            <w:r w:rsidR="00761629">
              <w:rPr>
                <w:webHidden/>
              </w:rPr>
            </w:r>
            <w:r w:rsidR="00761629">
              <w:rPr>
                <w:webHidden/>
              </w:rPr>
              <w:fldChar w:fldCharType="separate"/>
            </w:r>
            <w:r>
              <w:rPr>
                <w:webHidden/>
              </w:rPr>
              <w:t>16</w:t>
            </w:r>
            <w:r w:rsidR="00761629">
              <w:rPr>
                <w:webHidden/>
              </w:rPr>
              <w:fldChar w:fldCharType="end"/>
            </w:r>
          </w:hyperlink>
        </w:p>
        <w:p w14:paraId="1C08C052" w14:textId="37591C8B" w:rsidR="00761629" w:rsidRDefault="004373E7">
          <w:pPr>
            <w:pStyle w:val="TOC1"/>
            <w:rPr>
              <w:rFonts w:asciiTheme="minorHAnsi" w:eastAsiaTheme="minorEastAsia" w:hAnsiTheme="minorHAnsi" w:cstheme="minorBidi"/>
              <w:b w:val="0"/>
              <w:caps w:val="0"/>
              <w:color w:val="auto"/>
              <w:kern w:val="0"/>
              <w:szCs w:val="22"/>
              <w:lang w:val="en-US" w:eastAsia="en-US"/>
              <w14:ligatures w14:val="none"/>
            </w:rPr>
          </w:pPr>
          <w:hyperlink w:anchor="_Toc41053692" w:history="1">
            <w:r w:rsidR="00761629" w:rsidRPr="006D0E38">
              <w:rPr>
                <w:rStyle w:val="Hyperlink"/>
                <w:lang w:val="fr-CA"/>
              </w:rPr>
              <w:t>Chapitre 3 : Embauchage des Inuits au sein du COLLÈGE</w:t>
            </w:r>
            <w:r w:rsidR="00761629">
              <w:rPr>
                <w:webHidden/>
              </w:rPr>
              <w:tab/>
            </w:r>
            <w:r w:rsidR="00761629">
              <w:rPr>
                <w:webHidden/>
              </w:rPr>
              <w:fldChar w:fldCharType="begin"/>
            </w:r>
            <w:r w:rsidR="00761629">
              <w:rPr>
                <w:webHidden/>
              </w:rPr>
              <w:instrText xml:space="preserve"> PAGEREF _Toc41053692 \h </w:instrText>
            </w:r>
            <w:r w:rsidR="00761629">
              <w:rPr>
                <w:webHidden/>
              </w:rPr>
            </w:r>
            <w:r w:rsidR="00761629">
              <w:rPr>
                <w:webHidden/>
              </w:rPr>
              <w:fldChar w:fldCharType="separate"/>
            </w:r>
            <w:r>
              <w:rPr>
                <w:webHidden/>
              </w:rPr>
              <w:t>17</w:t>
            </w:r>
            <w:r w:rsidR="00761629">
              <w:rPr>
                <w:webHidden/>
              </w:rPr>
              <w:fldChar w:fldCharType="end"/>
            </w:r>
          </w:hyperlink>
        </w:p>
        <w:p w14:paraId="16C6D698" w14:textId="6E3017E4" w:rsidR="00761629" w:rsidRDefault="004373E7">
          <w:pPr>
            <w:pStyle w:val="TOC2"/>
            <w:rPr>
              <w:rFonts w:asciiTheme="minorHAnsi" w:eastAsiaTheme="minorEastAsia" w:hAnsiTheme="minorHAnsi" w:cstheme="minorBidi"/>
              <w:kern w:val="0"/>
              <w:szCs w:val="22"/>
              <w:lang w:val="en-US" w:eastAsia="en-US"/>
              <w14:ligatures w14:val="none"/>
            </w:rPr>
          </w:pPr>
          <w:hyperlink w:anchor="_Toc41053693" w:history="1">
            <w:r w:rsidR="00761629" w:rsidRPr="006D0E38">
              <w:rPr>
                <w:rStyle w:val="Hyperlink"/>
                <w:bCs/>
                <w:lang w:val="fr-CA"/>
              </w:rPr>
              <w:t>Embauchage des Inuits et capacité du Collège de l’Arctique du Nunavut</w:t>
            </w:r>
            <w:r w:rsidR="00761629">
              <w:rPr>
                <w:webHidden/>
              </w:rPr>
              <w:tab/>
            </w:r>
            <w:r w:rsidR="00761629">
              <w:rPr>
                <w:webHidden/>
              </w:rPr>
              <w:fldChar w:fldCharType="begin"/>
            </w:r>
            <w:r w:rsidR="00761629">
              <w:rPr>
                <w:webHidden/>
              </w:rPr>
              <w:instrText xml:space="preserve"> PAGEREF _Toc41053693 \h </w:instrText>
            </w:r>
            <w:r w:rsidR="00761629">
              <w:rPr>
                <w:webHidden/>
              </w:rPr>
            </w:r>
            <w:r w:rsidR="00761629">
              <w:rPr>
                <w:webHidden/>
              </w:rPr>
              <w:fldChar w:fldCharType="separate"/>
            </w:r>
            <w:r>
              <w:rPr>
                <w:webHidden/>
              </w:rPr>
              <w:t>17</w:t>
            </w:r>
            <w:r w:rsidR="00761629">
              <w:rPr>
                <w:webHidden/>
              </w:rPr>
              <w:fldChar w:fldCharType="end"/>
            </w:r>
          </w:hyperlink>
        </w:p>
        <w:p w14:paraId="65233FA9" w14:textId="3C94290B" w:rsidR="00761629" w:rsidRDefault="004373E7">
          <w:pPr>
            <w:pStyle w:val="TOC2"/>
            <w:rPr>
              <w:rFonts w:asciiTheme="minorHAnsi" w:eastAsiaTheme="minorEastAsia" w:hAnsiTheme="minorHAnsi" w:cstheme="minorBidi"/>
              <w:kern w:val="0"/>
              <w:szCs w:val="22"/>
              <w:lang w:val="en-US" w:eastAsia="en-US"/>
              <w14:ligatures w14:val="none"/>
            </w:rPr>
          </w:pPr>
          <w:hyperlink w:anchor="_Toc41053694" w:history="1">
            <w:r w:rsidR="00761629" w:rsidRPr="006D0E38">
              <w:rPr>
                <w:rStyle w:val="Hyperlink"/>
                <w:rFonts w:cs="Arial"/>
                <w:bCs/>
                <w:lang w:val="fr-CA"/>
              </w:rPr>
              <w:t>Embauchage des Inuits par catégories d’emploi</w:t>
            </w:r>
            <w:r w:rsidR="00761629">
              <w:rPr>
                <w:webHidden/>
              </w:rPr>
              <w:tab/>
            </w:r>
            <w:r w:rsidR="00761629">
              <w:rPr>
                <w:webHidden/>
              </w:rPr>
              <w:fldChar w:fldCharType="begin"/>
            </w:r>
            <w:r w:rsidR="00761629">
              <w:rPr>
                <w:webHidden/>
              </w:rPr>
              <w:instrText xml:space="preserve"> PAGEREF _Toc41053694 \h </w:instrText>
            </w:r>
            <w:r w:rsidR="00761629">
              <w:rPr>
                <w:webHidden/>
              </w:rPr>
            </w:r>
            <w:r w:rsidR="00761629">
              <w:rPr>
                <w:webHidden/>
              </w:rPr>
              <w:fldChar w:fldCharType="separate"/>
            </w:r>
            <w:r>
              <w:rPr>
                <w:webHidden/>
              </w:rPr>
              <w:t>18</w:t>
            </w:r>
            <w:r w:rsidR="00761629">
              <w:rPr>
                <w:webHidden/>
              </w:rPr>
              <w:fldChar w:fldCharType="end"/>
            </w:r>
          </w:hyperlink>
        </w:p>
        <w:p w14:paraId="144E2A50" w14:textId="50B7B94B" w:rsidR="00761629" w:rsidRDefault="004373E7">
          <w:pPr>
            <w:pStyle w:val="TOC3"/>
            <w:rPr>
              <w:rFonts w:asciiTheme="minorHAnsi" w:eastAsiaTheme="minorEastAsia" w:hAnsiTheme="minorHAnsi" w:cstheme="minorBidi"/>
              <w:kern w:val="0"/>
              <w:szCs w:val="22"/>
              <w:lang w:val="en-US" w:eastAsia="en-US"/>
              <w14:ligatures w14:val="none"/>
            </w:rPr>
          </w:pPr>
          <w:hyperlink w:anchor="_Toc41053695" w:history="1">
            <w:r w:rsidR="00761629" w:rsidRPr="006D0E38">
              <w:rPr>
                <w:rStyle w:val="Hyperlink"/>
                <w:bCs/>
                <w:lang w:val="fr-CA"/>
              </w:rPr>
              <w:t>Au 31 mars 2019</w:t>
            </w:r>
            <w:r w:rsidR="00761629">
              <w:rPr>
                <w:webHidden/>
              </w:rPr>
              <w:tab/>
            </w:r>
            <w:r w:rsidR="00761629">
              <w:rPr>
                <w:webHidden/>
              </w:rPr>
              <w:fldChar w:fldCharType="begin"/>
            </w:r>
            <w:r w:rsidR="00761629">
              <w:rPr>
                <w:webHidden/>
              </w:rPr>
              <w:instrText xml:space="preserve"> PAGEREF _Toc41053695 \h </w:instrText>
            </w:r>
            <w:r w:rsidR="00761629">
              <w:rPr>
                <w:webHidden/>
              </w:rPr>
            </w:r>
            <w:r w:rsidR="00761629">
              <w:rPr>
                <w:webHidden/>
              </w:rPr>
              <w:fldChar w:fldCharType="separate"/>
            </w:r>
            <w:r>
              <w:rPr>
                <w:webHidden/>
              </w:rPr>
              <w:t>19</w:t>
            </w:r>
            <w:r w:rsidR="00761629">
              <w:rPr>
                <w:webHidden/>
              </w:rPr>
              <w:fldChar w:fldCharType="end"/>
            </w:r>
          </w:hyperlink>
        </w:p>
        <w:p w14:paraId="15B9F277" w14:textId="42D8CF22" w:rsidR="00761629" w:rsidRDefault="004373E7">
          <w:pPr>
            <w:pStyle w:val="TOC3"/>
            <w:rPr>
              <w:rFonts w:asciiTheme="minorHAnsi" w:eastAsiaTheme="minorEastAsia" w:hAnsiTheme="minorHAnsi" w:cstheme="minorBidi"/>
              <w:kern w:val="0"/>
              <w:szCs w:val="22"/>
              <w:lang w:val="en-US" w:eastAsia="en-US"/>
              <w14:ligatures w14:val="none"/>
            </w:rPr>
          </w:pPr>
          <w:hyperlink w:anchor="_Toc41053696" w:history="1">
            <w:r w:rsidR="00761629" w:rsidRPr="006D0E38">
              <w:rPr>
                <w:rStyle w:val="Hyperlink"/>
                <w:bCs/>
                <w:lang w:val="fr-CA"/>
              </w:rPr>
              <w:t>Au 31 mars 2018</w:t>
            </w:r>
            <w:r w:rsidR="00761629">
              <w:rPr>
                <w:webHidden/>
              </w:rPr>
              <w:tab/>
            </w:r>
            <w:r w:rsidR="00761629">
              <w:rPr>
                <w:webHidden/>
              </w:rPr>
              <w:fldChar w:fldCharType="begin"/>
            </w:r>
            <w:r w:rsidR="00761629">
              <w:rPr>
                <w:webHidden/>
              </w:rPr>
              <w:instrText xml:space="preserve"> PAGEREF _Toc41053696 \h </w:instrText>
            </w:r>
            <w:r w:rsidR="00761629">
              <w:rPr>
                <w:webHidden/>
              </w:rPr>
            </w:r>
            <w:r w:rsidR="00761629">
              <w:rPr>
                <w:webHidden/>
              </w:rPr>
              <w:fldChar w:fldCharType="separate"/>
            </w:r>
            <w:r>
              <w:rPr>
                <w:webHidden/>
              </w:rPr>
              <w:t>19</w:t>
            </w:r>
            <w:r w:rsidR="00761629">
              <w:rPr>
                <w:webHidden/>
              </w:rPr>
              <w:fldChar w:fldCharType="end"/>
            </w:r>
          </w:hyperlink>
        </w:p>
        <w:p w14:paraId="199789F0" w14:textId="243A3337" w:rsidR="00761629" w:rsidRDefault="004373E7">
          <w:pPr>
            <w:pStyle w:val="TOC3"/>
            <w:rPr>
              <w:rFonts w:asciiTheme="minorHAnsi" w:eastAsiaTheme="minorEastAsia" w:hAnsiTheme="minorHAnsi" w:cstheme="minorBidi"/>
              <w:kern w:val="0"/>
              <w:szCs w:val="22"/>
              <w:lang w:val="en-US" w:eastAsia="en-US"/>
              <w14:ligatures w14:val="none"/>
            </w:rPr>
          </w:pPr>
          <w:hyperlink w:anchor="_Toc41053697" w:history="1">
            <w:r w:rsidR="00761629" w:rsidRPr="006D0E38">
              <w:rPr>
                <w:rStyle w:val="Hyperlink"/>
                <w:bCs/>
                <w:lang w:val="fr-CA"/>
              </w:rPr>
              <w:t>Au 31 mars 2017</w:t>
            </w:r>
            <w:r w:rsidR="00761629">
              <w:rPr>
                <w:webHidden/>
              </w:rPr>
              <w:tab/>
            </w:r>
            <w:r w:rsidR="00761629">
              <w:rPr>
                <w:webHidden/>
              </w:rPr>
              <w:fldChar w:fldCharType="begin"/>
            </w:r>
            <w:r w:rsidR="00761629">
              <w:rPr>
                <w:webHidden/>
              </w:rPr>
              <w:instrText xml:space="preserve"> PAGEREF _Toc41053697 \h </w:instrText>
            </w:r>
            <w:r w:rsidR="00761629">
              <w:rPr>
                <w:webHidden/>
              </w:rPr>
            </w:r>
            <w:r w:rsidR="00761629">
              <w:rPr>
                <w:webHidden/>
              </w:rPr>
              <w:fldChar w:fldCharType="separate"/>
            </w:r>
            <w:r>
              <w:rPr>
                <w:webHidden/>
              </w:rPr>
              <w:t>19</w:t>
            </w:r>
            <w:r w:rsidR="00761629">
              <w:rPr>
                <w:webHidden/>
              </w:rPr>
              <w:fldChar w:fldCharType="end"/>
            </w:r>
          </w:hyperlink>
        </w:p>
        <w:p w14:paraId="65937355" w14:textId="539B1A14" w:rsidR="00761629" w:rsidRDefault="004373E7">
          <w:pPr>
            <w:pStyle w:val="TOC3"/>
            <w:rPr>
              <w:rFonts w:asciiTheme="minorHAnsi" w:eastAsiaTheme="minorEastAsia" w:hAnsiTheme="minorHAnsi" w:cstheme="minorBidi"/>
              <w:kern w:val="0"/>
              <w:szCs w:val="22"/>
              <w:lang w:val="en-US" w:eastAsia="en-US"/>
              <w14:ligatures w14:val="none"/>
            </w:rPr>
          </w:pPr>
          <w:hyperlink w:anchor="_Toc41053698" w:history="1">
            <w:r w:rsidR="00761629" w:rsidRPr="006D0E38">
              <w:rPr>
                <w:rStyle w:val="Hyperlink"/>
                <w:bCs/>
                <w:lang w:val="fr-CA"/>
              </w:rPr>
              <w:t>Au 31 mars 2016</w:t>
            </w:r>
            <w:r w:rsidR="00761629">
              <w:rPr>
                <w:webHidden/>
              </w:rPr>
              <w:tab/>
            </w:r>
            <w:r w:rsidR="00761629">
              <w:rPr>
                <w:webHidden/>
              </w:rPr>
              <w:fldChar w:fldCharType="begin"/>
            </w:r>
            <w:r w:rsidR="00761629">
              <w:rPr>
                <w:webHidden/>
              </w:rPr>
              <w:instrText xml:space="preserve"> PAGEREF _Toc41053698 \h </w:instrText>
            </w:r>
            <w:r w:rsidR="00761629">
              <w:rPr>
                <w:webHidden/>
              </w:rPr>
            </w:r>
            <w:r w:rsidR="00761629">
              <w:rPr>
                <w:webHidden/>
              </w:rPr>
              <w:fldChar w:fldCharType="separate"/>
            </w:r>
            <w:r>
              <w:rPr>
                <w:webHidden/>
              </w:rPr>
              <w:t>20</w:t>
            </w:r>
            <w:r w:rsidR="00761629">
              <w:rPr>
                <w:webHidden/>
              </w:rPr>
              <w:fldChar w:fldCharType="end"/>
            </w:r>
          </w:hyperlink>
        </w:p>
        <w:p w14:paraId="64BC7817" w14:textId="35E7F8AD" w:rsidR="00761629" w:rsidRDefault="004373E7">
          <w:pPr>
            <w:pStyle w:val="TOC3"/>
            <w:rPr>
              <w:rFonts w:asciiTheme="minorHAnsi" w:eastAsiaTheme="minorEastAsia" w:hAnsiTheme="minorHAnsi" w:cstheme="minorBidi"/>
              <w:kern w:val="0"/>
              <w:szCs w:val="22"/>
              <w:lang w:val="en-US" w:eastAsia="en-US"/>
              <w14:ligatures w14:val="none"/>
            </w:rPr>
          </w:pPr>
          <w:hyperlink w:anchor="_Toc41053699" w:history="1">
            <w:r w:rsidR="00761629" w:rsidRPr="006D0E38">
              <w:rPr>
                <w:rStyle w:val="Hyperlink"/>
                <w:bCs/>
                <w:lang w:val="fr-CA"/>
              </w:rPr>
              <w:t>Au 31 mars 2015</w:t>
            </w:r>
            <w:r w:rsidR="00761629">
              <w:rPr>
                <w:webHidden/>
              </w:rPr>
              <w:tab/>
            </w:r>
            <w:r w:rsidR="00761629">
              <w:rPr>
                <w:webHidden/>
              </w:rPr>
              <w:fldChar w:fldCharType="begin"/>
            </w:r>
            <w:r w:rsidR="00761629">
              <w:rPr>
                <w:webHidden/>
              </w:rPr>
              <w:instrText xml:space="preserve"> PAGEREF _Toc41053699 \h </w:instrText>
            </w:r>
            <w:r w:rsidR="00761629">
              <w:rPr>
                <w:webHidden/>
              </w:rPr>
            </w:r>
            <w:r w:rsidR="00761629">
              <w:rPr>
                <w:webHidden/>
              </w:rPr>
              <w:fldChar w:fldCharType="separate"/>
            </w:r>
            <w:r>
              <w:rPr>
                <w:webHidden/>
              </w:rPr>
              <w:t>20</w:t>
            </w:r>
            <w:r w:rsidR="00761629">
              <w:rPr>
                <w:webHidden/>
              </w:rPr>
              <w:fldChar w:fldCharType="end"/>
            </w:r>
          </w:hyperlink>
        </w:p>
        <w:p w14:paraId="2D57FFFF" w14:textId="6562A9FC" w:rsidR="00761629" w:rsidRDefault="004373E7">
          <w:pPr>
            <w:pStyle w:val="TOC3"/>
            <w:rPr>
              <w:rFonts w:asciiTheme="minorHAnsi" w:eastAsiaTheme="minorEastAsia" w:hAnsiTheme="minorHAnsi" w:cstheme="minorBidi"/>
              <w:kern w:val="0"/>
              <w:szCs w:val="22"/>
              <w:lang w:val="en-US" w:eastAsia="en-US"/>
              <w14:ligatures w14:val="none"/>
            </w:rPr>
          </w:pPr>
          <w:hyperlink w:anchor="_Toc41053700" w:history="1">
            <w:r w:rsidR="00761629" w:rsidRPr="006D0E38">
              <w:rPr>
                <w:rStyle w:val="Hyperlink"/>
                <w:bCs/>
                <w:lang w:val="fr-CA"/>
              </w:rPr>
              <w:t>Au 31 mars 2014</w:t>
            </w:r>
            <w:r w:rsidR="00761629">
              <w:rPr>
                <w:webHidden/>
              </w:rPr>
              <w:tab/>
            </w:r>
            <w:r w:rsidR="00761629">
              <w:rPr>
                <w:webHidden/>
              </w:rPr>
              <w:fldChar w:fldCharType="begin"/>
            </w:r>
            <w:r w:rsidR="00761629">
              <w:rPr>
                <w:webHidden/>
              </w:rPr>
              <w:instrText xml:space="preserve"> PAGEREF _Toc41053700 \h </w:instrText>
            </w:r>
            <w:r w:rsidR="00761629">
              <w:rPr>
                <w:webHidden/>
              </w:rPr>
            </w:r>
            <w:r w:rsidR="00761629">
              <w:rPr>
                <w:webHidden/>
              </w:rPr>
              <w:fldChar w:fldCharType="separate"/>
            </w:r>
            <w:r>
              <w:rPr>
                <w:webHidden/>
              </w:rPr>
              <w:t>20</w:t>
            </w:r>
            <w:r w:rsidR="00761629">
              <w:rPr>
                <w:webHidden/>
              </w:rPr>
              <w:fldChar w:fldCharType="end"/>
            </w:r>
          </w:hyperlink>
        </w:p>
        <w:p w14:paraId="240493DC" w14:textId="441A0F2D" w:rsidR="00761629" w:rsidRDefault="004373E7">
          <w:pPr>
            <w:pStyle w:val="TOC3"/>
            <w:rPr>
              <w:rFonts w:asciiTheme="minorHAnsi" w:eastAsiaTheme="minorEastAsia" w:hAnsiTheme="minorHAnsi" w:cstheme="minorBidi"/>
              <w:kern w:val="0"/>
              <w:szCs w:val="22"/>
              <w:lang w:val="en-US" w:eastAsia="en-US"/>
              <w14:ligatures w14:val="none"/>
            </w:rPr>
          </w:pPr>
          <w:hyperlink w:anchor="_Toc41053701" w:history="1">
            <w:r w:rsidR="00761629" w:rsidRPr="006D0E38">
              <w:rPr>
                <w:rStyle w:val="Hyperlink"/>
                <w:bCs/>
                <w:lang w:val="fr-CA"/>
              </w:rPr>
              <w:t>Au 31 mars 2013</w:t>
            </w:r>
            <w:r w:rsidR="00761629">
              <w:rPr>
                <w:webHidden/>
              </w:rPr>
              <w:tab/>
            </w:r>
            <w:r w:rsidR="00761629">
              <w:rPr>
                <w:webHidden/>
              </w:rPr>
              <w:fldChar w:fldCharType="begin"/>
            </w:r>
            <w:r w:rsidR="00761629">
              <w:rPr>
                <w:webHidden/>
              </w:rPr>
              <w:instrText xml:space="preserve"> PAGEREF _Toc41053701 \h </w:instrText>
            </w:r>
            <w:r w:rsidR="00761629">
              <w:rPr>
                <w:webHidden/>
              </w:rPr>
            </w:r>
            <w:r w:rsidR="00761629">
              <w:rPr>
                <w:webHidden/>
              </w:rPr>
              <w:fldChar w:fldCharType="separate"/>
            </w:r>
            <w:r>
              <w:rPr>
                <w:webHidden/>
              </w:rPr>
              <w:t>21</w:t>
            </w:r>
            <w:r w:rsidR="00761629">
              <w:rPr>
                <w:webHidden/>
              </w:rPr>
              <w:fldChar w:fldCharType="end"/>
            </w:r>
          </w:hyperlink>
        </w:p>
        <w:p w14:paraId="5EA91791" w14:textId="37E4D255" w:rsidR="00761629" w:rsidRDefault="004373E7">
          <w:pPr>
            <w:pStyle w:val="TOC2"/>
            <w:rPr>
              <w:rFonts w:asciiTheme="minorHAnsi" w:eastAsiaTheme="minorEastAsia" w:hAnsiTheme="minorHAnsi" w:cstheme="minorBidi"/>
              <w:kern w:val="0"/>
              <w:szCs w:val="22"/>
              <w:lang w:val="en-US" w:eastAsia="en-US"/>
              <w14:ligatures w14:val="none"/>
            </w:rPr>
          </w:pPr>
          <w:hyperlink w:anchor="_Toc41053702" w:history="1">
            <w:r w:rsidR="00761629" w:rsidRPr="006D0E38">
              <w:rPr>
                <w:rStyle w:val="Hyperlink"/>
                <w:bCs/>
                <w:lang w:val="fr-CA"/>
              </w:rPr>
              <w:t>Système de Classification nationale des professions  au sein du CAN</w:t>
            </w:r>
            <w:r w:rsidR="00761629">
              <w:rPr>
                <w:webHidden/>
              </w:rPr>
              <w:tab/>
            </w:r>
            <w:r w:rsidR="00761629">
              <w:rPr>
                <w:webHidden/>
              </w:rPr>
              <w:fldChar w:fldCharType="begin"/>
            </w:r>
            <w:r w:rsidR="00761629">
              <w:rPr>
                <w:webHidden/>
              </w:rPr>
              <w:instrText xml:space="preserve"> PAGEREF _Toc41053702 \h </w:instrText>
            </w:r>
            <w:r w:rsidR="00761629">
              <w:rPr>
                <w:webHidden/>
              </w:rPr>
            </w:r>
            <w:r w:rsidR="00761629">
              <w:rPr>
                <w:webHidden/>
              </w:rPr>
              <w:fldChar w:fldCharType="separate"/>
            </w:r>
            <w:r>
              <w:rPr>
                <w:webHidden/>
              </w:rPr>
              <w:t>21</w:t>
            </w:r>
            <w:r w:rsidR="00761629">
              <w:rPr>
                <w:webHidden/>
              </w:rPr>
              <w:fldChar w:fldCharType="end"/>
            </w:r>
          </w:hyperlink>
        </w:p>
        <w:p w14:paraId="17F9FBCE" w14:textId="48F4301F" w:rsidR="00761629" w:rsidRDefault="004373E7">
          <w:pPr>
            <w:pStyle w:val="TOC2"/>
            <w:rPr>
              <w:rFonts w:asciiTheme="minorHAnsi" w:eastAsiaTheme="minorEastAsia" w:hAnsiTheme="minorHAnsi" w:cstheme="minorBidi"/>
              <w:kern w:val="0"/>
              <w:szCs w:val="22"/>
              <w:lang w:val="en-US" w:eastAsia="en-US"/>
              <w14:ligatures w14:val="none"/>
            </w:rPr>
          </w:pPr>
          <w:hyperlink w:anchor="_Toc41053703" w:history="1">
            <w:r w:rsidR="00761629" w:rsidRPr="006D0E38">
              <w:rPr>
                <w:rStyle w:val="Hyperlink"/>
                <w:bCs/>
                <w:lang w:val="fr-CA"/>
              </w:rPr>
              <w:t>Embauchage des Inuits par codes de la CNP et catégories d’emploi</w:t>
            </w:r>
            <w:r w:rsidR="00761629">
              <w:rPr>
                <w:webHidden/>
              </w:rPr>
              <w:tab/>
            </w:r>
            <w:r w:rsidR="00761629">
              <w:rPr>
                <w:webHidden/>
              </w:rPr>
              <w:fldChar w:fldCharType="begin"/>
            </w:r>
            <w:r w:rsidR="00761629">
              <w:rPr>
                <w:webHidden/>
              </w:rPr>
              <w:instrText xml:space="preserve"> PAGEREF _Toc41053703 \h </w:instrText>
            </w:r>
            <w:r w:rsidR="00761629">
              <w:rPr>
                <w:webHidden/>
              </w:rPr>
            </w:r>
            <w:r w:rsidR="00761629">
              <w:rPr>
                <w:webHidden/>
              </w:rPr>
              <w:fldChar w:fldCharType="separate"/>
            </w:r>
            <w:r>
              <w:rPr>
                <w:webHidden/>
              </w:rPr>
              <w:t>22</w:t>
            </w:r>
            <w:r w:rsidR="00761629">
              <w:rPr>
                <w:webHidden/>
              </w:rPr>
              <w:fldChar w:fldCharType="end"/>
            </w:r>
          </w:hyperlink>
        </w:p>
        <w:p w14:paraId="6C3DD76A" w14:textId="58FFEB26" w:rsidR="00761629" w:rsidRDefault="004373E7">
          <w:pPr>
            <w:pStyle w:val="TOC3"/>
            <w:rPr>
              <w:rFonts w:asciiTheme="minorHAnsi" w:eastAsiaTheme="minorEastAsia" w:hAnsiTheme="minorHAnsi" w:cstheme="minorBidi"/>
              <w:kern w:val="0"/>
              <w:szCs w:val="22"/>
              <w:lang w:val="en-US" w:eastAsia="en-US"/>
              <w14:ligatures w14:val="none"/>
            </w:rPr>
          </w:pPr>
          <w:hyperlink w:anchor="_Toc41053704" w:history="1">
            <w:r w:rsidR="00761629" w:rsidRPr="006D0E38">
              <w:rPr>
                <w:rStyle w:val="Hyperlink"/>
                <w:bCs/>
                <w:lang w:val="fr-CA"/>
              </w:rPr>
              <w:t>Embauchage des Inuits comme cadres supérieurs</w:t>
            </w:r>
            <w:r w:rsidR="00761629">
              <w:rPr>
                <w:webHidden/>
              </w:rPr>
              <w:tab/>
            </w:r>
            <w:r w:rsidR="00761629">
              <w:rPr>
                <w:webHidden/>
              </w:rPr>
              <w:fldChar w:fldCharType="begin"/>
            </w:r>
            <w:r w:rsidR="00761629">
              <w:rPr>
                <w:webHidden/>
              </w:rPr>
              <w:instrText xml:space="preserve"> PAGEREF _Toc41053704 \h </w:instrText>
            </w:r>
            <w:r w:rsidR="00761629">
              <w:rPr>
                <w:webHidden/>
              </w:rPr>
            </w:r>
            <w:r w:rsidR="00761629">
              <w:rPr>
                <w:webHidden/>
              </w:rPr>
              <w:fldChar w:fldCharType="separate"/>
            </w:r>
            <w:r>
              <w:rPr>
                <w:webHidden/>
              </w:rPr>
              <w:t>24</w:t>
            </w:r>
            <w:r w:rsidR="00761629">
              <w:rPr>
                <w:webHidden/>
              </w:rPr>
              <w:fldChar w:fldCharType="end"/>
            </w:r>
          </w:hyperlink>
        </w:p>
        <w:p w14:paraId="1B7DE596" w14:textId="0530B0D5" w:rsidR="00761629" w:rsidRDefault="004373E7">
          <w:pPr>
            <w:pStyle w:val="TOC3"/>
            <w:rPr>
              <w:rFonts w:asciiTheme="minorHAnsi" w:eastAsiaTheme="minorEastAsia" w:hAnsiTheme="minorHAnsi" w:cstheme="minorBidi"/>
              <w:kern w:val="0"/>
              <w:szCs w:val="22"/>
              <w:lang w:val="en-US" w:eastAsia="en-US"/>
              <w14:ligatures w14:val="none"/>
            </w:rPr>
          </w:pPr>
          <w:hyperlink w:anchor="_Toc41053705" w:history="1">
            <w:r w:rsidR="00761629" w:rsidRPr="006D0E38">
              <w:rPr>
                <w:rStyle w:val="Hyperlink"/>
                <w:bCs/>
                <w:lang w:val="fr-CA"/>
              </w:rPr>
              <w:t>Embauchage des Inuits comme cadres intermédiaires</w:t>
            </w:r>
            <w:r w:rsidR="00761629">
              <w:rPr>
                <w:webHidden/>
              </w:rPr>
              <w:tab/>
            </w:r>
            <w:r w:rsidR="00761629">
              <w:rPr>
                <w:webHidden/>
              </w:rPr>
              <w:fldChar w:fldCharType="begin"/>
            </w:r>
            <w:r w:rsidR="00761629">
              <w:rPr>
                <w:webHidden/>
              </w:rPr>
              <w:instrText xml:space="preserve"> PAGEREF _Toc41053705 \h </w:instrText>
            </w:r>
            <w:r w:rsidR="00761629">
              <w:rPr>
                <w:webHidden/>
              </w:rPr>
            </w:r>
            <w:r w:rsidR="00761629">
              <w:rPr>
                <w:webHidden/>
              </w:rPr>
              <w:fldChar w:fldCharType="separate"/>
            </w:r>
            <w:r>
              <w:rPr>
                <w:webHidden/>
              </w:rPr>
              <w:t>24</w:t>
            </w:r>
            <w:r w:rsidR="00761629">
              <w:rPr>
                <w:webHidden/>
              </w:rPr>
              <w:fldChar w:fldCharType="end"/>
            </w:r>
          </w:hyperlink>
        </w:p>
        <w:p w14:paraId="47DD6A82" w14:textId="38B5E4AE" w:rsidR="00761629" w:rsidRDefault="004373E7">
          <w:pPr>
            <w:pStyle w:val="TOC3"/>
            <w:rPr>
              <w:rFonts w:asciiTheme="minorHAnsi" w:eastAsiaTheme="minorEastAsia" w:hAnsiTheme="minorHAnsi" w:cstheme="minorBidi"/>
              <w:kern w:val="0"/>
              <w:szCs w:val="22"/>
              <w:lang w:val="en-US" w:eastAsia="en-US"/>
              <w14:ligatures w14:val="none"/>
            </w:rPr>
          </w:pPr>
          <w:hyperlink w:anchor="_Toc41053706" w:history="1">
            <w:r w:rsidR="00761629" w:rsidRPr="006D0E38">
              <w:rPr>
                <w:rStyle w:val="Hyperlink"/>
                <w:bCs/>
                <w:lang w:val="fr-CA"/>
              </w:rPr>
              <w:t>Embauchage des Inuits comme professionnels</w:t>
            </w:r>
            <w:r w:rsidR="00761629">
              <w:rPr>
                <w:webHidden/>
              </w:rPr>
              <w:tab/>
            </w:r>
            <w:r w:rsidR="00761629">
              <w:rPr>
                <w:webHidden/>
              </w:rPr>
              <w:fldChar w:fldCharType="begin"/>
            </w:r>
            <w:r w:rsidR="00761629">
              <w:rPr>
                <w:webHidden/>
              </w:rPr>
              <w:instrText xml:space="preserve"> PAGEREF _Toc41053706 \h </w:instrText>
            </w:r>
            <w:r w:rsidR="00761629">
              <w:rPr>
                <w:webHidden/>
              </w:rPr>
            </w:r>
            <w:r w:rsidR="00761629">
              <w:rPr>
                <w:webHidden/>
              </w:rPr>
              <w:fldChar w:fldCharType="separate"/>
            </w:r>
            <w:r>
              <w:rPr>
                <w:webHidden/>
              </w:rPr>
              <w:t>24</w:t>
            </w:r>
            <w:r w:rsidR="00761629">
              <w:rPr>
                <w:webHidden/>
              </w:rPr>
              <w:fldChar w:fldCharType="end"/>
            </w:r>
          </w:hyperlink>
        </w:p>
        <w:p w14:paraId="144BCDDA" w14:textId="7693DE53" w:rsidR="00761629" w:rsidRDefault="004373E7">
          <w:pPr>
            <w:pStyle w:val="TOC3"/>
            <w:rPr>
              <w:rFonts w:asciiTheme="minorHAnsi" w:eastAsiaTheme="minorEastAsia" w:hAnsiTheme="minorHAnsi" w:cstheme="minorBidi"/>
              <w:kern w:val="0"/>
              <w:szCs w:val="22"/>
              <w:lang w:val="en-US" w:eastAsia="en-US"/>
              <w14:ligatures w14:val="none"/>
            </w:rPr>
          </w:pPr>
          <w:hyperlink w:anchor="_Toc41053707" w:history="1">
            <w:r w:rsidR="00761629" w:rsidRPr="006D0E38">
              <w:rPr>
                <w:rStyle w:val="Hyperlink"/>
                <w:bCs/>
                <w:lang w:val="fr-CA"/>
              </w:rPr>
              <w:t>Embauchage des Inuits comme paraprofessionnels</w:t>
            </w:r>
            <w:r w:rsidR="00761629">
              <w:rPr>
                <w:webHidden/>
              </w:rPr>
              <w:tab/>
            </w:r>
            <w:r w:rsidR="00761629">
              <w:rPr>
                <w:webHidden/>
              </w:rPr>
              <w:fldChar w:fldCharType="begin"/>
            </w:r>
            <w:r w:rsidR="00761629">
              <w:rPr>
                <w:webHidden/>
              </w:rPr>
              <w:instrText xml:space="preserve"> PAGEREF _Toc41053707 \h </w:instrText>
            </w:r>
            <w:r w:rsidR="00761629">
              <w:rPr>
                <w:webHidden/>
              </w:rPr>
            </w:r>
            <w:r w:rsidR="00761629">
              <w:rPr>
                <w:webHidden/>
              </w:rPr>
              <w:fldChar w:fldCharType="separate"/>
            </w:r>
            <w:r>
              <w:rPr>
                <w:webHidden/>
              </w:rPr>
              <w:t>25</w:t>
            </w:r>
            <w:r w:rsidR="00761629">
              <w:rPr>
                <w:webHidden/>
              </w:rPr>
              <w:fldChar w:fldCharType="end"/>
            </w:r>
          </w:hyperlink>
        </w:p>
        <w:p w14:paraId="3B24E8C1" w14:textId="3627AE88" w:rsidR="00761629" w:rsidRDefault="004373E7">
          <w:pPr>
            <w:pStyle w:val="TOC3"/>
            <w:rPr>
              <w:rFonts w:asciiTheme="minorHAnsi" w:eastAsiaTheme="minorEastAsia" w:hAnsiTheme="minorHAnsi" w:cstheme="minorBidi"/>
              <w:kern w:val="0"/>
              <w:szCs w:val="22"/>
              <w:lang w:val="en-US" w:eastAsia="en-US"/>
              <w14:ligatures w14:val="none"/>
            </w:rPr>
          </w:pPr>
          <w:hyperlink w:anchor="_Toc41053708" w:history="1">
            <w:r w:rsidR="00761629" w:rsidRPr="006D0E38">
              <w:rPr>
                <w:rStyle w:val="Hyperlink"/>
                <w:bCs/>
                <w:lang w:val="fr-CA"/>
              </w:rPr>
              <w:t>Embauchage des Inuits dans le soutien administratif</w:t>
            </w:r>
            <w:r w:rsidR="00761629">
              <w:rPr>
                <w:webHidden/>
              </w:rPr>
              <w:tab/>
            </w:r>
            <w:r w:rsidR="00761629">
              <w:rPr>
                <w:webHidden/>
              </w:rPr>
              <w:fldChar w:fldCharType="begin"/>
            </w:r>
            <w:r w:rsidR="00761629">
              <w:rPr>
                <w:webHidden/>
              </w:rPr>
              <w:instrText xml:space="preserve"> PAGEREF _Toc41053708 \h </w:instrText>
            </w:r>
            <w:r w:rsidR="00761629">
              <w:rPr>
                <w:webHidden/>
              </w:rPr>
            </w:r>
            <w:r w:rsidR="00761629">
              <w:rPr>
                <w:webHidden/>
              </w:rPr>
              <w:fldChar w:fldCharType="separate"/>
            </w:r>
            <w:r>
              <w:rPr>
                <w:webHidden/>
              </w:rPr>
              <w:t>25</w:t>
            </w:r>
            <w:r w:rsidR="00761629">
              <w:rPr>
                <w:webHidden/>
              </w:rPr>
              <w:fldChar w:fldCharType="end"/>
            </w:r>
          </w:hyperlink>
        </w:p>
        <w:p w14:paraId="120215AC" w14:textId="40D30F4E" w:rsidR="00761629" w:rsidRDefault="004373E7">
          <w:pPr>
            <w:pStyle w:val="TOC2"/>
            <w:rPr>
              <w:rFonts w:asciiTheme="minorHAnsi" w:eastAsiaTheme="minorEastAsia" w:hAnsiTheme="minorHAnsi" w:cstheme="minorBidi"/>
              <w:kern w:val="0"/>
              <w:szCs w:val="22"/>
              <w:lang w:val="en-US" w:eastAsia="en-US"/>
              <w14:ligatures w14:val="none"/>
            </w:rPr>
          </w:pPr>
          <w:hyperlink w:anchor="_Toc41053709" w:history="1">
            <w:r w:rsidR="00761629" w:rsidRPr="006D0E38">
              <w:rPr>
                <w:rStyle w:val="Hyperlink"/>
                <w:bCs/>
                <w:lang w:val="fr-CA"/>
              </w:rPr>
              <w:t>Exigences en matière de langues inuites</w:t>
            </w:r>
            <w:r w:rsidR="00761629">
              <w:rPr>
                <w:webHidden/>
              </w:rPr>
              <w:tab/>
            </w:r>
            <w:r w:rsidR="00761629">
              <w:rPr>
                <w:webHidden/>
              </w:rPr>
              <w:fldChar w:fldCharType="begin"/>
            </w:r>
            <w:r w:rsidR="00761629">
              <w:rPr>
                <w:webHidden/>
              </w:rPr>
              <w:instrText xml:space="preserve"> PAGEREF _Toc41053709 \h </w:instrText>
            </w:r>
            <w:r w:rsidR="00761629">
              <w:rPr>
                <w:webHidden/>
              </w:rPr>
            </w:r>
            <w:r w:rsidR="00761629">
              <w:rPr>
                <w:webHidden/>
              </w:rPr>
              <w:fldChar w:fldCharType="separate"/>
            </w:r>
            <w:r>
              <w:rPr>
                <w:webHidden/>
              </w:rPr>
              <w:t>26</w:t>
            </w:r>
            <w:r w:rsidR="00761629">
              <w:rPr>
                <w:webHidden/>
              </w:rPr>
              <w:fldChar w:fldCharType="end"/>
            </w:r>
          </w:hyperlink>
        </w:p>
        <w:p w14:paraId="75062DFD" w14:textId="62F2A213" w:rsidR="00761629" w:rsidRDefault="004373E7">
          <w:pPr>
            <w:pStyle w:val="TOC2"/>
            <w:rPr>
              <w:rFonts w:asciiTheme="minorHAnsi" w:eastAsiaTheme="minorEastAsia" w:hAnsiTheme="minorHAnsi" w:cstheme="minorBidi"/>
              <w:kern w:val="0"/>
              <w:szCs w:val="22"/>
              <w:lang w:val="en-US" w:eastAsia="en-US"/>
              <w14:ligatures w14:val="none"/>
            </w:rPr>
          </w:pPr>
          <w:hyperlink w:anchor="_Toc41053710" w:history="1">
            <w:r w:rsidR="00761629" w:rsidRPr="006D0E38">
              <w:rPr>
                <w:rStyle w:val="Hyperlink"/>
                <w:bCs/>
                <w:lang w:val="fr-CA"/>
              </w:rPr>
              <w:t>Représentation inuite</w:t>
            </w:r>
            <w:r w:rsidR="00761629">
              <w:rPr>
                <w:webHidden/>
              </w:rPr>
              <w:tab/>
            </w:r>
            <w:r w:rsidR="00761629">
              <w:rPr>
                <w:webHidden/>
              </w:rPr>
              <w:fldChar w:fldCharType="begin"/>
            </w:r>
            <w:r w:rsidR="00761629">
              <w:rPr>
                <w:webHidden/>
              </w:rPr>
              <w:instrText xml:space="preserve"> PAGEREF _Toc41053710 \h </w:instrText>
            </w:r>
            <w:r w:rsidR="00761629">
              <w:rPr>
                <w:webHidden/>
              </w:rPr>
            </w:r>
            <w:r w:rsidR="00761629">
              <w:rPr>
                <w:webHidden/>
              </w:rPr>
              <w:fldChar w:fldCharType="separate"/>
            </w:r>
            <w:r>
              <w:rPr>
                <w:webHidden/>
              </w:rPr>
              <w:t>27</w:t>
            </w:r>
            <w:r w:rsidR="00761629">
              <w:rPr>
                <w:webHidden/>
              </w:rPr>
              <w:fldChar w:fldCharType="end"/>
            </w:r>
          </w:hyperlink>
        </w:p>
        <w:p w14:paraId="091F4032" w14:textId="605643B7" w:rsidR="00761629" w:rsidRDefault="004373E7">
          <w:pPr>
            <w:pStyle w:val="TOC1"/>
            <w:rPr>
              <w:rFonts w:asciiTheme="minorHAnsi" w:eastAsiaTheme="minorEastAsia" w:hAnsiTheme="minorHAnsi" w:cstheme="minorBidi"/>
              <w:b w:val="0"/>
              <w:caps w:val="0"/>
              <w:color w:val="auto"/>
              <w:kern w:val="0"/>
              <w:szCs w:val="22"/>
              <w:lang w:val="en-US" w:eastAsia="en-US"/>
              <w14:ligatures w14:val="none"/>
            </w:rPr>
          </w:pPr>
          <w:hyperlink w:anchor="_Toc41053711" w:history="1">
            <w:r w:rsidR="00761629" w:rsidRPr="006D0E38">
              <w:rPr>
                <w:rStyle w:val="Hyperlink"/>
                <w:lang w:val="fr-CA"/>
              </w:rPr>
              <w:t xml:space="preserve">Chapitre 4 : Problématiques et possibilités en matière d’embauchage </w:t>
            </w:r>
            <w:r w:rsidR="00761629">
              <w:rPr>
                <w:rStyle w:val="Hyperlink"/>
                <w:lang w:val="fr-CA"/>
              </w:rPr>
              <w:br/>
            </w:r>
            <w:r w:rsidR="00761629" w:rsidRPr="006D0E38">
              <w:rPr>
                <w:rStyle w:val="Hyperlink"/>
                <w:lang w:val="fr-CA"/>
              </w:rPr>
              <w:t>des Inuits</w:t>
            </w:r>
            <w:r w:rsidR="00761629">
              <w:rPr>
                <w:webHidden/>
              </w:rPr>
              <w:tab/>
            </w:r>
            <w:r w:rsidR="00761629">
              <w:rPr>
                <w:webHidden/>
              </w:rPr>
              <w:fldChar w:fldCharType="begin"/>
            </w:r>
            <w:r w:rsidR="00761629">
              <w:rPr>
                <w:webHidden/>
              </w:rPr>
              <w:instrText xml:space="preserve"> PAGEREF _Toc41053711 \h </w:instrText>
            </w:r>
            <w:r w:rsidR="00761629">
              <w:rPr>
                <w:webHidden/>
              </w:rPr>
            </w:r>
            <w:r w:rsidR="00761629">
              <w:rPr>
                <w:webHidden/>
              </w:rPr>
              <w:fldChar w:fldCharType="separate"/>
            </w:r>
            <w:r>
              <w:rPr>
                <w:webHidden/>
              </w:rPr>
              <w:t>29</w:t>
            </w:r>
            <w:r w:rsidR="00761629">
              <w:rPr>
                <w:webHidden/>
              </w:rPr>
              <w:fldChar w:fldCharType="end"/>
            </w:r>
          </w:hyperlink>
        </w:p>
        <w:p w14:paraId="0EEE6641" w14:textId="2D30CF65" w:rsidR="00761629" w:rsidRDefault="004373E7">
          <w:pPr>
            <w:pStyle w:val="TOC2"/>
            <w:rPr>
              <w:rFonts w:asciiTheme="minorHAnsi" w:eastAsiaTheme="minorEastAsia" w:hAnsiTheme="minorHAnsi" w:cstheme="minorBidi"/>
              <w:kern w:val="0"/>
              <w:szCs w:val="22"/>
              <w:lang w:val="en-US" w:eastAsia="en-US"/>
              <w14:ligatures w14:val="none"/>
            </w:rPr>
          </w:pPr>
          <w:hyperlink w:anchor="_Toc41053712" w:history="1">
            <w:r w:rsidR="00761629" w:rsidRPr="006D0E38">
              <w:rPr>
                <w:rStyle w:val="Hyperlink"/>
                <w:bCs/>
                <w:lang w:val="fr-CA"/>
              </w:rPr>
              <w:t>Problématiques et possibilités découlant du passé</w:t>
            </w:r>
            <w:r w:rsidR="00761629">
              <w:rPr>
                <w:webHidden/>
              </w:rPr>
              <w:tab/>
            </w:r>
            <w:r w:rsidR="00761629">
              <w:rPr>
                <w:webHidden/>
              </w:rPr>
              <w:fldChar w:fldCharType="begin"/>
            </w:r>
            <w:r w:rsidR="00761629">
              <w:rPr>
                <w:webHidden/>
              </w:rPr>
              <w:instrText xml:space="preserve"> PAGEREF _Toc41053712 \h </w:instrText>
            </w:r>
            <w:r w:rsidR="00761629">
              <w:rPr>
                <w:webHidden/>
              </w:rPr>
            </w:r>
            <w:r w:rsidR="00761629">
              <w:rPr>
                <w:webHidden/>
              </w:rPr>
              <w:fldChar w:fldCharType="separate"/>
            </w:r>
            <w:r>
              <w:rPr>
                <w:webHidden/>
              </w:rPr>
              <w:t>29</w:t>
            </w:r>
            <w:r w:rsidR="00761629">
              <w:rPr>
                <w:webHidden/>
              </w:rPr>
              <w:fldChar w:fldCharType="end"/>
            </w:r>
          </w:hyperlink>
        </w:p>
        <w:p w14:paraId="6AD585E8" w14:textId="2A56D138" w:rsidR="00761629" w:rsidRDefault="004373E7">
          <w:pPr>
            <w:pStyle w:val="TOC3"/>
            <w:rPr>
              <w:rFonts w:asciiTheme="minorHAnsi" w:eastAsiaTheme="minorEastAsia" w:hAnsiTheme="minorHAnsi" w:cstheme="minorBidi"/>
              <w:kern w:val="0"/>
              <w:szCs w:val="22"/>
              <w:lang w:val="en-US" w:eastAsia="en-US"/>
              <w14:ligatures w14:val="none"/>
            </w:rPr>
          </w:pPr>
          <w:hyperlink w:anchor="_Toc41053713" w:history="1">
            <w:r w:rsidR="00761629" w:rsidRPr="006D0E38">
              <w:rPr>
                <w:rStyle w:val="Hyperlink"/>
                <w:bCs/>
                <w:lang w:val="fr-CA"/>
              </w:rPr>
              <w:t>Roulement de personnel et maintien des effectifs</w:t>
            </w:r>
            <w:r w:rsidR="00761629">
              <w:rPr>
                <w:webHidden/>
              </w:rPr>
              <w:tab/>
            </w:r>
            <w:r w:rsidR="00761629">
              <w:rPr>
                <w:webHidden/>
              </w:rPr>
              <w:fldChar w:fldCharType="begin"/>
            </w:r>
            <w:r w:rsidR="00761629">
              <w:rPr>
                <w:webHidden/>
              </w:rPr>
              <w:instrText xml:space="preserve"> PAGEREF _Toc41053713 \h </w:instrText>
            </w:r>
            <w:r w:rsidR="00761629">
              <w:rPr>
                <w:webHidden/>
              </w:rPr>
            </w:r>
            <w:r w:rsidR="00761629">
              <w:rPr>
                <w:webHidden/>
              </w:rPr>
              <w:fldChar w:fldCharType="separate"/>
            </w:r>
            <w:r>
              <w:rPr>
                <w:webHidden/>
              </w:rPr>
              <w:t>29</w:t>
            </w:r>
            <w:r w:rsidR="00761629">
              <w:rPr>
                <w:webHidden/>
              </w:rPr>
              <w:fldChar w:fldCharType="end"/>
            </w:r>
          </w:hyperlink>
        </w:p>
        <w:p w14:paraId="1C7EFB43" w14:textId="60E9DF9F" w:rsidR="00761629" w:rsidRDefault="004373E7">
          <w:pPr>
            <w:pStyle w:val="TOC3"/>
            <w:rPr>
              <w:rFonts w:asciiTheme="minorHAnsi" w:eastAsiaTheme="minorEastAsia" w:hAnsiTheme="minorHAnsi" w:cstheme="minorBidi"/>
              <w:kern w:val="0"/>
              <w:szCs w:val="22"/>
              <w:lang w:val="en-US" w:eastAsia="en-US"/>
              <w14:ligatures w14:val="none"/>
            </w:rPr>
          </w:pPr>
          <w:hyperlink w:anchor="_Toc41053714" w:history="1">
            <w:r w:rsidR="00761629" w:rsidRPr="006D0E38">
              <w:rPr>
                <w:rStyle w:val="Hyperlink"/>
                <w:bCs/>
                <w:lang w:val="fr-CA"/>
              </w:rPr>
              <w:t>Expertise spécialisée</w:t>
            </w:r>
            <w:r w:rsidR="00761629">
              <w:rPr>
                <w:webHidden/>
              </w:rPr>
              <w:tab/>
            </w:r>
            <w:r w:rsidR="00761629">
              <w:rPr>
                <w:webHidden/>
              </w:rPr>
              <w:fldChar w:fldCharType="begin"/>
            </w:r>
            <w:r w:rsidR="00761629">
              <w:rPr>
                <w:webHidden/>
              </w:rPr>
              <w:instrText xml:space="preserve"> PAGEREF _Toc41053714 \h </w:instrText>
            </w:r>
            <w:r w:rsidR="00761629">
              <w:rPr>
                <w:webHidden/>
              </w:rPr>
            </w:r>
            <w:r w:rsidR="00761629">
              <w:rPr>
                <w:webHidden/>
              </w:rPr>
              <w:fldChar w:fldCharType="separate"/>
            </w:r>
            <w:r>
              <w:rPr>
                <w:webHidden/>
              </w:rPr>
              <w:t>29</w:t>
            </w:r>
            <w:r w:rsidR="00761629">
              <w:rPr>
                <w:webHidden/>
              </w:rPr>
              <w:fldChar w:fldCharType="end"/>
            </w:r>
          </w:hyperlink>
        </w:p>
        <w:p w14:paraId="4E79F50F" w14:textId="3D1B61F6" w:rsidR="00761629" w:rsidRDefault="004373E7">
          <w:pPr>
            <w:pStyle w:val="TOC2"/>
            <w:rPr>
              <w:rFonts w:asciiTheme="minorHAnsi" w:eastAsiaTheme="minorEastAsia" w:hAnsiTheme="minorHAnsi" w:cstheme="minorBidi"/>
              <w:kern w:val="0"/>
              <w:szCs w:val="22"/>
              <w:lang w:val="en-US" w:eastAsia="en-US"/>
              <w14:ligatures w14:val="none"/>
            </w:rPr>
          </w:pPr>
          <w:hyperlink w:anchor="_Toc41053715" w:history="1">
            <w:r w:rsidR="00761629" w:rsidRPr="006D0E38">
              <w:rPr>
                <w:rStyle w:val="Hyperlink"/>
                <w:bCs/>
                <w:lang w:val="fr-CA"/>
              </w:rPr>
              <w:t>Problématiques et possibilités actuelles</w:t>
            </w:r>
            <w:r w:rsidR="00761629">
              <w:rPr>
                <w:webHidden/>
              </w:rPr>
              <w:tab/>
            </w:r>
            <w:r w:rsidR="00761629">
              <w:rPr>
                <w:webHidden/>
              </w:rPr>
              <w:fldChar w:fldCharType="begin"/>
            </w:r>
            <w:r w:rsidR="00761629">
              <w:rPr>
                <w:webHidden/>
              </w:rPr>
              <w:instrText xml:space="preserve"> PAGEREF _Toc41053715 \h </w:instrText>
            </w:r>
            <w:r w:rsidR="00761629">
              <w:rPr>
                <w:webHidden/>
              </w:rPr>
            </w:r>
            <w:r w:rsidR="00761629">
              <w:rPr>
                <w:webHidden/>
              </w:rPr>
              <w:fldChar w:fldCharType="separate"/>
            </w:r>
            <w:r>
              <w:rPr>
                <w:webHidden/>
              </w:rPr>
              <w:t>29</w:t>
            </w:r>
            <w:r w:rsidR="00761629">
              <w:rPr>
                <w:webHidden/>
              </w:rPr>
              <w:fldChar w:fldCharType="end"/>
            </w:r>
          </w:hyperlink>
        </w:p>
        <w:p w14:paraId="37BB115F" w14:textId="437BB14D" w:rsidR="00761629" w:rsidRDefault="004373E7">
          <w:pPr>
            <w:pStyle w:val="TOC3"/>
            <w:rPr>
              <w:rFonts w:asciiTheme="minorHAnsi" w:eastAsiaTheme="minorEastAsia" w:hAnsiTheme="minorHAnsi" w:cstheme="minorBidi"/>
              <w:kern w:val="0"/>
              <w:szCs w:val="22"/>
              <w:lang w:val="en-US" w:eastAsia="en-US"/>
              <w14:ligatures w14:val="none"/>
            </w:rPr>
          </w:pPr>
          <w:hyperlink w:anchor="_Toc41053716" w:history="1">
            <w:r w:rsidR="00761629" w:rsidRPr="006D0E38">
              <w:rPr>
                <w:rStyle w:val="Hyperlink"/>
                <w:bCs/>
                <w:lang w:val="fr-CA"/>
              </w:rPr>
              <w:t>Roulement de personnel et maintien des effectifs</w:t>
            </w:r>
            <w:r w:rsidR="00761629">
              <w:rPr>
                <w:webHidden/>
              </w:rPr>
              <w:tab/>
            </w:r>
            <w:r w:rsidR="00761629">
              <w:rPr>
                <w:webHidden/>
              </w:rPr>
              <w:fldChar w:fldCharType="begin"/>
            </w:r>
            <w:r w:rsidR="00761629">
              <w:rPr>
                <w:webHidden/>
              </w:rPr>
              <w:instrText xml:space="preserve"> PAGEREF _Toc41053716 \h </w:instrText>
            </w:r>
            <w:r w:rsidR="00761629">
              <w:rPr>
                <w:webHidden/>
              </w:rPr>
            </w:r>
            <w:r w:rsidR="00761629">
              <w:rPr>
                <w:webHidden/>
              </w:rPr>
              <w:fldChar w:fldCharType="separate"/>
            </w:r>
            <w:r>
              <w:rPr>
                <w:webHidden/>
              </w:rPr>
              <w:t>29</w:t>
            </w:r>
            <w:r w:rsidR="00761629">
              <w:rPr>
                <w:webHidden/>
              </w:rPr>
              <w:fldChar w:fldCharType="end"/>
            </w:r>
          </w:hyperlink>
        </w:p>
        <w:p w14:paraId="1E9649F2" w14:textId="39B39A17" w:rsidR="00761629" w:rsidRDefault="004373E7">
          <w:pPr>
            <w:pStyle w:val="TOC3"/>
            <w:rPr>
              <w:rFonts w:asciiTheme="minorHAnsi" w:eastAsiaTheme="minorEastAsia" w:hAnsiTheme="minorHAnsi" w:cstheme="minorBidi"/>
              <w:kern w:val="0"/>
              <w:szCs w:val="22"/>
              <w:lang w:val="en-US" w:eastAsia="en-US"/>
              <w14:ligatures w14:val="none"/>
            </w:rPr>
          </w:pPr>
          <w:hyperlink w:anchor="_Toc41053717" w:history="1">
            <w:r w:rsidR="00761629" w:rsidRPr="006D0E38">
              <w:rPr>
                <w:rStyle w:val="Hyperlink"/>
                <w:bCs/>
                <w:lang w:val="fr-CA"/>
              </w:rPr>
              <w:t>Expertise spécialisée</w:t>
            </w:r>
            <w:r w:rsidR="00761629">
              <w:rPr>
                <w:webHidden/>
              </w:rPr>
              <w:tab/>
            </w:r>
            <w:r w:rsidR="00761629">
              <w:rPr>
                <w:webHidden/>
              </w:rPr>
              <w:fldChar w:fldCharType="begin"/>
            </w:r>
            <w:r w:rsidR="00761629">
              <w:rPr>
                <w:webHidden/>
              </w:rPr>
              <w:instrText xml:space="preserve"> PAGEREF _Toc41053717 \h </w:instrText>
            </w:r>
            <w:r w:rsidR="00761629">
              <w:rPr>
                <w:webHidden/>
              </w:rPr>
            </w:r>
            <w:r w:rsidR="00761629">
              <w:rPr>
                <w:webHidden/>
              </w:rPr>
              <w:fldChar w:fldCharType="separate"/>
            </w:r>
            <w:r>
              <w:rPr>
                <w:webHidden/>
              </w:rPr>
              <w:t>30</w:t>
            </w:r>
            <w:r w:rsidR="00761629">
              <w:rPr>
                <w:webHidden/>
              </w:rPr>
              <w:fldChar w:fldCharType="end"/>
            </w:r>
          </w:hyperlink>
        </w:p>
        <w:p w14:paraId="069F99FE" w14:textId="3835B283" w:rsidR="00761629" w:rsidRDefault="004373E7">
          <w:pPr>
            <w:pStyle w:val="TOC3"/>
            <w:rPr>
              <w:rFonts w:asciiTheme="minorHAnsi" w:eastAsiaTheme="minorEastAsia" w:hAnsiTheme="minorHAnsi" w:cstheme="minorBidi"/>
              <w:kern w:val="0"/>
              <w:szCs w:val="22"/>
              <w:lang w:val="en-US" w:eastAsia="en-US"/>
              <w14:ligatures w14:val="none"/>
            </w:rPr>
          </w:pPr>
          <w:hyperlink w:anchor="_Toc41053718" w:history="1">
            <w:r w:rsidR="00761629" w:rsidRPr="006D0E38">
              <w:rPr>
                <w:rStyle w:val="Hyperlink"/>
                <w:rFonts w:cs="Arial"/>
                <w:bCs/>
                <w:lang w:val="fr-CA"/>
              </w:rPr>
              <w:t>Observation de la politique de priorité d’embauche</w:t>
            </w:r>
            <w:r w:rsidR="00761629">
              <w:rPr>
                <w:webHidden/>
              </w:rPr>
              <w:tab/>
            </w:r>
            <w:r w:rsidR="00761629">
              <w:rPr>
                <w:webHidden/>
              </w:rPr>
              <w:fldChar w:fldCharType="begin"/>
            </w:r>
            <w:r w:rsidR="00761629">
              <w:rPr>
                <w:webHidden/>
              </w:rPr>
              <w:instrText xml:space="preserve"> PAGEREF _Toc41053718 \h </w:instrText>
            </w:r>
            <w:r w:rsidR="00761629">
              <w:rPr>
                <w:webHidden/>
              </w:rPr>
            </w:r>
            <w:r w:rsidR="00761629">
              <w:rPr>
                <w:webHidden/>
              </w:rPr>
              <w:fldChar w:fldCharType="separate"/>
            </w:r>
            <w:r>
              <w:rPr>
                <w:webHidden/>
              </w:rPr>
              <w:t>31</w:t>
            </w:r>
            <w:r w:rsidR="00761629">
              <w:rPr>
                <w:webHidden/>
              </w:rPr>
              <w:fldChar w:fldCharType="end"/>
            </w:r>
          </w:hyperlink>
        </w:p>
        <w:p w14:paraId="33E346EB" w14:textId="54344122" w:rsidR="00761629" w:rsidRDefault="004373E7">
          <w:pPr>
            <w:pStyle w:val="TOC3"/>
            <w:rPr>
              <w:rFonts w:asciiTheme="minorHAnsi" w:eastAsiaTheme="minorEastAsia" w:hAnsiTheme="minorHAnsi" w:cstheme="minorBidi"/>
              <w:kern w:val="0"/>
              <w:szCs w:val="22"/>
              <w:lang w:val="en-US" w:eastAsia="en-US"/>
              <w14:ligatures w14:val="none"/>
            </w:rPr>
          </w:pPr>
          <w:hyperlink w:anchor="_Toc41053719" w:history="1">
            <w:r w:rsidR="00761629" w:rsidRPr="006D0E38">
              <w:rPr>
                <w:rStyle w:val="Hyperlink"/>
                <w:bCs/>
                <w:lang w:val="fr-CA"/>
              </w:rPr>
              <w:t>Politiques internes du Collège relatives au perfectionnement professionnel</w:t>
            </w:r>
            <w:r w:rsidR="00761629">
              <w:rPr>
                <w:webHidden/>
              </w:rPr>
              <w:tab/>
            </w:r>
            <w:r w:rsidR="00761629">
              <w:rPr>
                <w:webHidden/>
              </w:rPr>
              <w:fldChar w:fldCharType="begin"/>
            </w:r>
            <w:r w:rsidR="00761629">
              <w:rPr>
                <w:webHidden/>
              </w:rPr>
              <w:instrText xml:space="preserve"> PAGEREF _Toc41053719 \h </w:instrText>
            </w:r>
            <w:r w:rsidR="00761629">
              <w:rPr>
                <w:webHidden/>
              </w:rPr>
            </w:r>
            <w:r w:rsidR="00761629">
              <w:rPr>
                <w:webHidden/>
              </w:rPr>
              <w:fldChar w:fldCharType="separate"/>
            </w:r>
            <w:r>
              <w:rPr>
                <w:webHidden/>
              </w:rPr>
              <w:t>32</w:t>
            </w:r>
            <w:r w:rsidR="00761629">
              <w:rPr>
                <w:webHidden/>
              </w:rPr>
              <w:fldChar w:fldCharType="end"/>
            </w:r>
          </w:hyperlink>
        </w:p>
        <w:p w14:paraId="31246E34" w14:textId="1054605C" w:rsidR="00761629" w:rsidRDefault="004373E7">
          <w:pPr>
            <w:pStyle w:val="TOC3"/>
            <w:rPr>
              <w:rFonts w:asciiTheme="minorHAnsi" w:eastAsiaTheme="minorEastAsia" w:hAnsiTheme="minorHAnsi" w:cstheme="minorBidi"/>
              <w:kern w:val="0"/>
              <w:szCs w:val="22"/>
              <w:lang w:val="en-US" w:eastAsia="en-US"/>
              <w14:ligatures w14:val="none"/>
            </w:rPr>
          </w:pPr>
          <w:hyperlink w:anchor="_Toc41053720" w:history="1">
            <w:r w:rsidR="00761629" w:rsidRPr="006D0E38">
              <w:rPr>
                <w:rStyle w:val="Hyperlink"/>
                <w:bCs/>
                <w:lang w:val="fr-CA"/>
              </w:rPr>
              <w:t>Accès aux programmes et aux ressources externes pour l’embauchage des Inuits</w:t>
            </w:r>
            <w:r w:rsidR="00761629">
              <w:rPr>
                <w:webHidden/>
              </w:rPr>
              <w:tab/>
            </w:r>
            <w:r w:rsidR="00761629">
              <w:rPr>
                <w:webHidden/>
              </w:rPr>
              <w:fldChar w:fldCharType="begin"/>
            </w:r>
            <w:r w:rsidR="00761629">
              <w:rPr>
                <w:webHidden/>
              </w:rPr>
              <w:instrText xml:space="preserve"> PAGEREF _Toc41053720 \h </w:instrText>
            </w:r>
            <w:r w:rsidR="00761629">
              <w:rPr>
                <w:webHidden/>
              </w:rPr>
            </w:r>
            <w:r w:rsidR="00761629">
              <w:rPr>
                <w:webHidden/>
              </w:rPr>
              <w:fldChar w:fldCharType="separate"/>
            </w:r>
            <w:r>
              <w:rPr>
                <w:webHidden/>
              </w:rPr>
              <w:t>32</w:t>
            </w:r>
            <w:r w:rsidR="00761629">
              <w:rPr>
                <w:webHidden/>
              </w:rPr>
              <w:fldChar w:fldCharType="end"/>
            </w:r>
          </w:hyperlink>
        </w:p>
        <w:p w14:paraId="5DA489A5" w14:textId="7EC46ADA" w:rsidR="00761629" w:rsidRDefault="004373E7">
          <w:pPr>
            <w:pStyle w:val="TOC3"/>
            <w:rPr>
              <w:rFonts w:asciiTheme="minorHAnsi" w:eastAsiaTheme="minorEastAsia" w:hAnsiTheme="minorHAnsi" w:cstheme="minorBidi"/>
              <w:kern w:val="0"/>
              <w:szCs w:val="22"/>
              <w:lang w:val="en-US" w:eastAsia="en-US"/>
              <w14:ligatures w14:val="none"/>
            </w:rPr>
          </w:pPr>
          <w:hyperlink w:anchor="_Toc41053721" w:history="1">
            <w:r w:rsidR="00761629" w:rsidRPr="006D0E38">
              <w:rPr>
                <w:rStyle w:val="Hyperlink"/>
                <w:bCs/>
                <w:lang w:val="fr-CA"/>
              </w:rPr>
              <w:t xml:space="preserve">Obstacles artificiels à l’embauchage des Inuits propres au Collège de l’Arctique </w:t>
            </w:r>
            <w:r w:rsidR="00761629">
              <w:rPr>
                <w:rStyle w:val="Hyperlink"/>
                <w:bCs/>
                <w:lang w:val="fr-CA"/>
              </w:rPr>
              <w:br/>
            </w:r>
            <w:r w:rsidR="00761629" w:rsidRPr="006D0E38">
              <w:rPr>
                <w:rStyle w:val="Hyperlink"/>
                <w:bCs/>
                <w:lang w:val="fr-CA"/>
              </w:rPr>
              <w:t>du Nunavut</w:t>
            </w:r>
            <w:r w:rsidR="00761629">
              <w:rPr>
                <w:webHidden/>
              </w:rPr>
              <w:tab/>
            </w:r>
            <w:r w:rsidR="00761629">
              <w:rPr>
                <w:webHidden/>
              </w:rPr>
              <w:fldChar w:fldCharType="begin"/>
            </w:r>
            <w:r w:rsidR="00761629">
              <w:rPr>
                <w:webHidden/>
              </w:rPr>
              <w:instrText xml:space="preserve"> PAGEREF _Toc41053721 \h </w:instrText>
            </w:r>
            <w:r w:rsidR="00761629">
              <w:rPr>
                <w:webHidden/>
              </w:rPr>
            </w:r>
            <w:r w:rsidR="00761629">
              <w:rPr>
                <w:webHidden/>
              </w:rPr>
              <w:fldChar w:fldCharType="separate"/>
            </w:r>
            <w:r>
              <w:rPr>
                <w:webHidden/>
              </w:rPr>
              <w:t>32</w:t>
            </w:r>
            <w:r w:rsidR="00761629">
              <w:rPr>
                <w:webHidden/>
              </w:rPr>
              <w:fldChar w:fldCharType="end"/>
            </w:r>
          </w:hyperlink>
        </w:p>
        <w:p w14:paraId="0C416718" w14:textId="27EE17BB" w:rsidR="00761629" w:rsidRDefault="004373E7">
          <w:pPr>
            <w:pStyle w:val="TOC2"/>
            <w:rPr>
              <w:rFonts w:asciiTheme="minorHAnsi" w:eastAsiaTheme="minorEastAsia" w:hAnsiTheme="minorHAnsi" w:cstheme="minorBidi"/>
              <w:kern w:val="0"/>
              <w:szCs w:val="22"/>
              <w:lang w:val="en-US" w:eastAsia="en-US"/>
              <w14:ligatures w14:val="none"/>
            </w:rPr>
          </w:pPr>
          <w:hyperlink w:anchor="_Toc41053722" w:history="1">
            <w:r w:rsidR="00761629" w:rsidRPr="006D0E38">
              <w:rPr>
                <w:rStyle w:val="Hyperlink"/>
                <w:bCs/>
                <w:lang w:val="fr-CA"/>
              </w:rPr>
              <w:t>Problématiques et possibilités éventuelles</w:t>
            </w:r>
            <w:r w:rsidR="00761629">
              <w:rPr>
                <w:webHidden/>
              </w:rPr>
              <w:tab/>
            </w:r>
            <w:r w:rsidR="00761629">
              <w:rPr>
                <w:webHidden/>
              </w:rPr>
              <w:fldChar w:fldCharType="begin"/>
            </w:r>
            <w:r w:rsidR="00761629">
              <w:rPr>
                <w:webHidden/>
              </w:rPr>
              <w:instrText xml:space="preserve"> PAGEREF _Toc41053722 \h </w:instrText>
            </w:r>
            <w:r w:rsidR="00761629">
              <w:rPr>
                <w:webHidden/>
              </w:rPr>
            </w:r>
            <w:r w:rsidR="00761629">
              <w:rPr>
                <w:webHidden/>
              </w:rPr>
              <w:fldChar w:fldCharType="separate"/>
            </w:r>
            <w:r>
              <w:rPr>
                <w:webHidden/>
              </w:rPr>
              <w:t>33</w:t>
            </w:r>
            <w:r w:rsidR="00761629">
              <w:rPr>
                <w:webHidden/>
              </w:rPr>
              <w:fldChar w:fldCharType="end"/>
            </w:r>
          </w:hyperlink>
        </w:p>
        <w:p w14:paraId="441CC9A0" w14:textId="0D122AFC" w:rsidR="00761629" w:rsidRDefault="004373E7">
          <w:pPr>
            <w:pStyle w:val="TOC3"/>
            <w:rPr>
              <w:rFonts w:asciiTheme="minorHAnsi" w:eastAsiaTheme="minorEastAsia" w:hAnsiTheme="minorHAnsi" w:cstheme="minorBidi"/>
              <w:kern w:val="0"/>
              <w:szCs w:val="22"/>
              <w:lang w:val="en-US" w:eastAsia="en-US"/>
              <w14:ligatures w14:val="none"/>
            </w:rPr>
          </w:pPr>
          <w:hyperlink w:anchor="_Toc41053723" w:history="1">
            <w:r w:rsidR="00761629" w:rsidRPr="006D0E38">
              <w:rPr>
                <w:rStyle w:val="Hyperlink"/>
                <w:bCs/>
                <w:lang w:val="fr-CA"/>
              </w:rPr>
              <w:t>Roulement de personnel attribuable aux départs à la retraite potentiels</w:t>
            </w:r>
            <w:r w:rsidR="00761629">
              <w:rPr>
                <w:webHidden/>
              </w:rPr>
              <w:tab/>
            </w:r>
            <w:r w:rsidR="00761629">
              <w:rPr>
                <w:webHidden/>
              </w:rPr>
              <w:fldChar w:fldCharType="begin"/>
            </w:r>
            <w:r w:rsidR="00761629">
              <w:rPr>
                <w:webHidden/>
              </w:rPr>
              <w:instrText xml:space="preserve"> PAGEREF _Toc41053723 \h </w:instrText>
            </w:r>
            <w:r w:rsidR="00761629">
              <w:rPr>
                <w:webHidden/>
              </w:rPr>
            </w:r>
            <w:r w:rsidR="00761629">
              <w:rPr>
                <w:webHidden/>
              </w:rPr>
              <w:fldChar w:fldCharType="separate"/>
            </w:r>
            <w:r>
              <w:rPr>
                <w:webHidden/>
              </w:rPr>
              <w:t>33</w:t>
            </w:r>
            <w:r w:rsidR="00761629">
              <w:rPr>
                <w:webHidden/>
              </w:rPr>
              <w:fldChar w:fldCharType="end"/>
            </w:r>
          </w:hyperlink>
        </w:p>
        <w:p w14:paraId="1F6FEB06" w14:textId="114C4FB3" w:rsidR="00761629" w:rsidRDefault="004373E7">
          <w:pPr>
            <w:pStyle w:val="TOC3"/>
            <w:rPr>
              <w:rFonts w:asciiTheme="minorHAnsi" w:eastAsiaTheme="minorEastAsia" w:hAnsiTheme="minorHAnsi" w:cstheme="minorBidi"/>
              <w:kern w:val="0"/>
              <w:szCs w:val="22"/>
              <w:lang w:val="en-US" w:eastAsia="en-US"/>
              <w14:ligatures w14:val="none"/>
            </w:rPr>
          </w:pPr>
          <w:hyperlink w:anchor="_Toc41053724" w:history="1">
            <w:r w:rsidR="00761629" w:rsidRPr="006D0E38">
              <w:rPr>
                <w:rStyle w:val="Hyperlink"/>
                <w:bCs/>
                <w:lang w:val="fr-CA"/>
              </w:rPr>
              <w:t>Partenariat collège-université</w:t>
            </w:r>
            <w:r w:rsidR="00761629">
              <w:rPr>
                <w:webHidden/>
              </w:rPr>
              <w:tab/>
            </w:r>
            <w:r w:rsidR="00761629">
              <w:rPr>
                <w:webHidden/>
              </w:rPr>
              <w:fldChar w:fldCharType="begin"/>
            </w:r>
            <w:r w:rsidR="00761629">
              <w:rPr>
                <w:webHidden/>
              </w:rPr>
              <w:instrText xml:space="preserve"> PAGEREF _Toc41053724 \h </w:instrText>
            </w:r>
            <w:r w:rsidR="00761629">
              <w:rPr>
                <w:webHidden/>
              </w:rPr>
            </w:r>
            <w:r w:rsidR="00761629">
              <w:rPr>
                <w:webHidden/>
              </w:rPr>
              <w:fldChar w:fldCharType="separate"/>
            </w:r>
            <w:r>
              <w:rPr>
                <w:webHidden/>
              </w:rPr>
              <w:t>35</w:t>
            </w:r>
            <w:r w:rsidR="00761629">
              <w:rPr>
                <w:webHidden/>
              </w:rPr>
              <w:fldChar w:fldCharType="end"/>
            </w:r>
          </w:hyperlink>
        </w:p>
        <w:p w14:paraId="23980E3D" w14:textId="32A11EAB" w:rsidR="00761629" w:rsidRDefault="004373E7">
          <w:pPr>
            <w:pStyle w:val="TOC3"/>
            <w:rPr>
              <w:rFonts w:asciiTheme="minorHAnsi" w:eastAsiaTheme="minorEastAsia" w:hAnsiTheme="minorHAnsi" w:cstheme="minorBidi"/>
              <w:kern w:val="0"/>
              <w:szCs w:val="22"/>
              <w:lang w:val="en-US" w:eastAsia="en-US"/>
              <w14:ligatures w14:val="none"/>
            </w:rPr>
          </w:pPr>
          <w:hyperlink w:anchor="_Toc41053725" w:history="1">
            <w:r w:rsidR="00761629" w:rsidRPr="006D0E38">
              <w:rPr>
                <w:rStyle w:val="Hyperlink"/>
                <w:bCs/>
                <w:lang w:val="fr-CA"/>
              </w:rPr>
              <w:t>Programmes de diplômes postsecondaires additionnels</w:t>
            </w:r>
            <w:r w:rsidR="00761629">
              <w:rPr>
                <w:webHidden/>
              </w:rPr>
              <w:tab/>
            </w:r>
            <w:r w:rsidR="00761629">
              <w:rPr>
                <w:webHidden/>
              </w:rPr>
              <w:fldChar w:fldCharType="begin"/>
            </w:r>
            <w:r w:rsidR="00761629">
              <w:rPr>
                <w:webHidden/>
              </w:rPr>
              <w:instrText xml:space="preserve"> PAGEREF _Toc41053725 \h </w:instrText>
            </w:r>
            <w:r w:rsidR="00761629">
              <w:rPr>
                <w:webHidden/>
              </w:rPr>
            </w:r>
            <w:r w:rsidR="00761629">
              <w:rPr>
                <w:webHidden/>
              </w:rPr>
              <w:fldChar w:fldCharType="separate"/>
            </w:r>
            <w:r>
              <w:rPr>
                <w:webHidden/>
              </w:rPr>
              <w:t>36</w:t>
            </w:r>
            <w:r w:rsidR="00761629">
              <w:rPr>
                <w:webHidden/>
              </w:rPr>
              <w:fldChar w:fldCharType="end"/>
            </w:r>
          </w:hyperlink>
        </w:p>
        <w:p w14:paraId="1B66F176" w14:textId="2FF5BE76" w:rsidR="00761629" w:rsidRDefault="004373E7">
          <w:pPr>
            <w:pStyle w:val="TOC1"/>
            <w:rPr>
              <w:rFonts w:asciiTheme="minorHAnsi" w:eastAsiaTheme="minorEastAsia" w:hAnsiTheme="minorHAnsi" w:cstheme="minorBidi"/>
              <w:b w:val="0"/>
              <w:caps w:val="0"/>
              <w:color w:val="auto"/>
              <w:kern w:val="0"/>
              <w:szCs w:val="22"/>
              <w:lang w:val="en-US" w:eastAsia="en-US"/>
              <w14:ligatures w14:val="none"/>
            </w:rPr>
          </w:pPr>
          <w:hyperlink w:anchor="_Toc41053726" w:history="1">
            <w:r w:rsidR="00761629" w:rsidRPr="006D0E38">
              <w:rPr>
                <w:rStyle w:val="Hyperlink"/>
                <w:lang w:val="fr-CA"/>
              </w:rPr>
              <w:t>Chapitre 5 : Objectifs en matière d’embauchage des Inuits</w:t>
            </w:r>
            <w:r w:rsidR="00761629">
              <w:rPr>
                <w:webHidden/>
              </w:rPr>
              <w:tab/>
            </w:r>
            <w:r w:rsidR="00761629">
              <w:rPr>
                <w:webHidden/>
              </w:rPr>
              <w:fldChar w:fldCharType="begin"/>
            </w:r>
            <w:r w:rsidR="00761629">
              <w:rPr>
                <w:webHidden/>
              </w:rPr>
              <w:instrText xml:space="preserve"> PAGEREF _Toc41053726 \h </w:instrText>
            </w:r>
            <w:r w:rsidR="00761629">
              <w:rPr>
                <w:webHidden/>
              </w:rPr>
            </w:r>
            <w:r w:rsidR="00761629">
              <w:rPr>
                <w:webHidden/>
              </w:rPr>
              <w:fldChar w:fldCharType="separate"/>
            </w:r>
            <w:r>
              <w:rPr>
                <w:webHidden/>
              </w:rPr>
              <w:t>37</w:t>
            </w:r>
            <w:r w:rsidR="00761629">
              <w:rPr>
                <w:webHidden/>
              </w:rPr>
              <w:fldChar w:fldCharType="end"/>
            </w:r>
          </w:hyperlink>
        </w:p>
        <w:p w14:paraId="5749F14A" w14:textId="5D766635" w:rsidR="00761629" w:rsidRDefault="004373E7">
          <w:pPr>
            <w:pStyle w:val="TOC2"/>
            <w:rPr>
              <w:rFonts w:asciiTheme="minorHAnsi" w:eastAsiaTheme="minorEastAsia" w:hAnsiTheme="minorHAnsi" w:cstheme="minorBidi"/>
              <w:kern w:val="0"/>
              <w:szCs w:val="22"/>
              <w:lang w:val="en-US" w:eastAsia="en-US"/>
              <w14:ligatures w14:val="none"/>
            </w:rPr>
          </w:pPr>
          <w:hyperlink w:anchor="_Toc41053727" w:history="1">
            <w:r w:rsidR="00761629" w:rsidRPr="006D0E38">
              <w:rPr>
                <w:rStyle w:val="Hyperlink"/>
                <w:bCs/>
                <w:lang w:val="fr-CA"/>
              </w:rPr>
              <w:t>Concernant les objectifs et les cibles d’embauchage des Inuits</w:t>
            </w:r>
            <w:r w:rsidR="00761629">
              <w:rPr>
                <w:webHidden/>
              </w:rPr>
              <w:tab/>
            </w:r>
            <w:r w:rsidR="00761629">
              <w:rPr>
                <w:webHidden/>
              </w:rPr>
              <w:fldChar w:fldCharType="begin"/>
            </w:r>
            <w:r w:rsidR="00761629">
              <w:rPr>
                <w:webHidden/>
              </w:rPr>
              <w:instrText xml:space="preserve"> PAGEREF _Toc41053727 \h </w:instrText>
            </w:r>
            <w:r w:rsidR="00761629">
              <w:rPr>
                <w:webHidden/>
              </w:rPr>
            </w:r>
            <w:r w:rsidR="00761629">
              <w:rPr>
                <w:webHidden/>
              </w:rPr>
              <w:fldChar w:fldCharType="separate"/>
            </w:r>
            <w:r>
              <w:rPr>
                <w:webHidden/>
              </w:rPr>
              <w:t>37</w:t>
            </w:r>
            <w:r w:rsidR="00761629">
              <w:rPr>
                <w:webHidden/>
              </w:rPr>
              <w:fldChar w:fldCharType="end"/>
            </w:r>
          </w:hyperlink>
        </w:p>
        <w:p w14:paraId="4ABA9147" w14:textId="2BB3C208" w:rsidR="00761629" w:rsidRDefault="004373E7">
          <w:pPr>
            <w:pStyle w:val="TOC3"/>
            <w:rPr>
              <w:rFonts w:asciiTheme="minorHAnsi" w:eastAsiaTheme="minorEastAsia" w:hAnsiTheme="minorHAnsi" w:cstheme="minorBidi"/>
              <w:kern w:val="0"/>
              <w:szCs w:val="22"/>
              <w:lang w:val="en-US" w:eastAsia="en-US"/>
              <w14:ligatures w14:val="none"/>
            </w:rPr>
          </w:pPr>
          <w:hyperlink w:anchor="_Toc41053728" w:history="1">
            <w:r w:rsidR="00761629" w:rsidRPr="006D0E38">
              <w:rPr>
                <w:rStyle w:val="Hyperlink"/>
                <w:bCs/>
                <w:lang w:val="fr-CA"/>
              </w:rPr>
              <w:t>Définitions</w:t>
            </w:r>
            <w:r w:rsidR="00761629">
              <w:rPr>
                <w:webHidden/>
              </w:rPr>
              <w:tab/>
            </w:r>
            <w:r w:rsidR="00761629">
              <w:rPr>
                <w:webHidden/>
              </w:rPr>
              <w:fldChar w:fldCharType="begin"/>
            </w:r>
            <w:r w:rsidR="00761629">
              <w:rPr>
                <w:webHidden/>
              </w:rPr>
              <w:instrText xml:space="preserve"> PAGEREF _Toc41053728 \h </w:instrText>
            </w:r>
            <w:r w:rsidR="00761629">
              <w:rPr>
                <w:webHidden/>
              </w:rPr>
            </w:r>
            <w:r w:rsidR="00761629">
              <w:rPr>
                <w:webHidden/>
              </w:rPr>
              <w:fldChar w:fldCharType="separate"/>
            </w:r>
            <w:r>
              <w:rPr>
                <w:webHidden/>
              </w:rPr>
              <w:t>37</w:t>
            </w:r>
            <w:r w:rsidR="00761629">
              <w:rPr>
                <w:webHidden/>
              </w:rPr>
              <w:fldChar w:fldCharType="end"/>
            </w:r>
          </w:hyperlink>
        </w:p>
        <w:p w14:paraId="7264321F" w14:textId="31FCD73D" w:rsidR="00761629" w:rsidRDefault="004373E7">
          <w:pPr>
            <w:pStyle w:val="TOC3"/>
            <w:rPr>
              <w:rFonts w:asciiTheme="minorHAnsi" w:eastAsiaTheme="minorEastAsia" w:hAnsiTheme="minorHAnsi" w:cstheme="minorBidi"/>
              <w:kern w:val="0"/>
              <w:szCs w:val="22"/>
              <w:lang w:val="en-US" w:eastAsia="en-US"/>
              <w14:ligatures w14:val="none"/>
            </w:rPr>
          </w:pPr>
          <w:hyperlink w:anchor="_Toc41053729" w:history="1">
            <w:r w:rsidR="00761629" w:rsidRPr="006D0E38">
              <w:rPr>
                <w:rStyle w:val="Hyperlink"/>
                <w:bCs/>
                <w:lang w:val="fr-CA"/>
              </w:rPr>
              <w:t>Facteurs influant les objectifs et les cibles des plans d’embauchage des Inuits</w:t>
            </w:r>
            <w:r w:rsidR="00761629">
              <w:rPr>
                <w:webHidden/>
              </w:rPr>
              <w:tab/>
            </w:r>
            <w:r w:rsidR="00761629">
              <w:rPr>
                <w:webHidden/>
              </w:rPr>
              <w:fldChar w:fldCharType="begin"/>
            </w:r>
            <w:r w:rsidR="00761629">
              <w:rPr>
                <w:webHidden/>
              </w:rPr>
              <w:instrText xml:space="preserve"> PAGEREF _Toc41053729 \h </w:instrText>
            </w:r>
            <w:r w:rsidR="00761629">
              <w:rPr>
                <w:webHidden/>
              </w:rPr>
            </w:r>
            <w:r w:rsidR="00761629">
              <w:rPr>
                <w:webHidden/>
              </w:rPr>
              <w:fldChar w:fldCharType="separate"/>
            </w:r>
            <w:r>
              <w:rPr>
                <w:webHidden/>
              </w:rPr>
              <w:t>37</w:t>
            </w:r>
            <w:r w:rsidR="00761629">
              <w:rPr>
                <w:webHidden/>
              </w:rPr>
              <w:fldChar w:fldCharType="end"/>
            </w:r>
          </w:hyperlink>
        </w:p>
        <w:p w14:paraId="08E3CD98" w14:textId="7A3E09D9" w:rsidR="00761629" w:rsidRDefault="004373E7">
          <w:pPr>
            <w:pStyle w:val="TOC3"/>
            <w:rPr>
              <w:rFonts w:asciiTheme="minorHAnsi" w:eastAsiaTheme="minorEastAsia" w:hAnsiTheme="minorHAnsi" w:cstheme="minorBidi"/>
              <w:kern w:val="0"/>
              <w:szCs w:val="22"/>
              <w:lang w:val="en-US" w:eastAsia="en-US"/>
              <w14:ligatures w14:val="none"/>
            </w:rPr>
          </w:pPr>
          <w:hyperlink w:anchor="_Toc41053730" w:history="1">
            <w:r w:rsidR="00761629" w:rsidRPr="006D0E38">
              <w:rPr>
                <w:rStyle w:val="Hyperlink"/>
                <w:bCs/>
                <w:lang w:val="fr-CA"/>
              </w:rPr>
              <w:t>Objectifs annuels à court, à moyen et à long terme</w:t>
            </w:r>
            <w:r w:rsidR="00761629">
              <w:rPr>
                <w:webHidden/>
              </w:rPr>
              <w:tab/>
            </w:r>
            <w:r w:rsidR="00761629">
              <w:rPr>
                <w:webHidden/>
              </w:rPr>
              <w:fldChar w:fldCharType="begin"/>
            </w:r>
            <w:r w:rsidR="00761629">
              <w:rPr>
                <w:webHidden/>
              </w:rPr>
              <w:instrText xml:space="preserve"> PAGEREF _Toc41053730 \h </w:instrText>
            </w:r>
            <w:r w:rsidR="00761629">
              <w:rPr>
                <w:webHidden/>
              </w:rPr>
            </w:r>
            <w:r w:rsidR="00761629">
              <w:rPr>
                <w:webHidden/>
              </w:rPr>
              <w:fldChar w:fldCharType="separate"/>
            </w:r>
            <w:r>
              <w:rPr>
                <w:webHidden/>
              </w:rPr>
              <w:t>38</w:t>
            </w:r>
            <w:r w:rsidR="00761629">
              <w:rPr>
                <w:webHidden/>
              </w:rPr>
              <w:fldChar w:fldCharType="end"/>
            </w:r>
          </w:hyperlink>
        </w:p>
        <w:p w14:paraId="2652FD23" w14:textId="665971AE" w:rsidR="00761629" w:rsidRDefault="004373E7">
          <w:pPr>
            <w:pStyle w:val="TOC2"/>
            <w:rPr>
              <w:rFonts w:asciiTheme="minorHAnsi" w:eastAsiaTheme="minorEastAsia" w:hAnsiTheme="minorHAnsi" w:cstheme="minorBidi"/>
              <w:kern w:val="0"/>
              <w:szCs w:val="22"/>
              <w:lang w:val="en-US" w:eastAsia="en-US"/>
              <w14:ligatures w14:val="none"/>
            </w:rPr>
          </w:pPr>
          <w:hyperlink w:anchor="_Toc41053731" w:history="1">
            <w:r w:rsidR="00761629" w:rsidRPr="006D0E38">
              <w:rPr>
                <w:rStyle w:val="Hyperlink"/>
                <w:bCs/>
                <w:lang w:val="fr-CA"/>
              </w:rPr>
              <w:t>Objectifs et cibles à court terme</w:t>
            </w:r>
            <w:r w:rsidR="00761629">
              <w:rPr>
                <w:webHidden/>
              </w:rPr>
              <w:tab/>
            </w:r>
            <w:r w:rsidR="00761629">
              <w:rPr>
                <w:webHidden/>
              </w:rPr>
              <w:fldChar w:fldCharType="begin"/>
            </w:r>
            <w:r w:rsidR="00761629">
              <w:rPr>
                <w:webHidden/>
              </w:rPr>
              <w:instrText xml:space="preserve"> PAGEREF _Toc41053731 \h </w:instrText>
            </w:r>
            <w:r w:rsidR="00761629">
              <w:rPr>
                <w:webHidden/>
              </w:rPr>
            </w:r>
            <w:r w:rsidR="00761629">
              <w:rPr>
                <w:webHidden/>
              </w:rPr>
              <w:fldChar w:fldCharType="separate"/>
            </w:r>
            <w:r>
              <w:rPr>
                <w:webHidden/>
              </w:rPr>
              <w:t>39</w:t>
            </w:r>
            <w:r w:rsidR="00761629">
              <w:rPr>
                <w:webHidden/>
              </w:rPr>
              <w:fldChar w:fldCharType="end"/>
            </w:r>
          </w:hyperlink>
        </w:p>
        <w:p w14:paraId="58C5F50A" w14:textId="3DFCE76E" w:rsidR="00761629" w:rsidRDefault="004373E7">
          <w:pPr>
            <w:pStyle w:val="TOC2"/>
            <w:rPr>
              <w:rFonts w:asciiTheme="minorHAnsi" w:eastAsiaTheme="minorEastAsia" w:hAnsiTheme="minorHAnsi" w:cstheme="minorBidi"/>
              <w:kern w:val="0"/>
              <w:szCs w:val="22"/>
              <w:lang w:val="en-US" w:eastAsia="en-US"/>
              <w14:ligatures w14:val="none"/>
            </w:rPr>
          </w:pPr>
          <w:hyperlink w:anchor="_Toc41053732" w:history="1">
            <w:r w:rsidR="00761629" w:rsidRPr="006D0E38">
              <w:rPr>
                <w:rStyle w:val="Hyperlink"/>
                <w:bCs/>
                <w:lang w:val="fr-CA"/>
              </w:rPr>
              <w:t>Objectifs et cibles à moyen terme</w:t>
            </w:r>
            <w:r w:rsidR="00761629">
              <w:rPr>
                <w:webHidden/>
              </w:rPr>
              <w:tab/>
            </w:r>
            <w:r w:rsidR="00761629">
              <w:rPr>
                <w:webHidden/>
              </w:rPr>
              <w:fldChar w:fldCharType="begin"/>
            </w:r>
            <w:r w:rsidR="00761629">
              <w:rPr>
                <w:webHidden/>
              </w:rPr>
              <w:instrText xml:space="preserve"> PAGEREF _Toc41053732 \h </w:instrText>
            </w:r>
            <w:r w:rsidR="00761629">
              <w:rPr>
                <w:webHidden/>
              </w:rPr>
            </w:r>
            <w:r w:rsidR="00761629">
              <w:rPr>
                <w:webHidden/>
              </w:rPr>
              <w:fldChar w:fldCharType="separate"/>
            </w:r>
            <w:r>
              <w:rPr>
                <w:webHidden/>
              </w:rPr>
              <w:t>40</w:t>
            </w:r>
            <w:r w:rsidR="00761629">
              <w:rPr>
                <w:webHidden/>
              </w:rPr>
              <w:fldChar w:fldCharType="end"/>
            </w:r>
          </w:hyperlink>
        </w:p>
        <w:p w14:paraId="3D566BDB" w14:textId="35AA6E65" w:rsidR="00761629" w:rsidRDefault="004373E7">
          <w:pPr>
            <w:pStyle w:val="TOC2"/>
            <w:rPr>
              <w:rFonts w:asciiTheme="minorHAnsi" w:eastAsiaTheme="minorEastAsia" w:hAnsiTheme="minorHAnsi" w:cstheme="minorBidi"/>
              <w:kern w:val="0"/>
              <w:szCs w:val="22"/>
              <w:lang w:val="en-US" w:eastAsia="en-US"/>
              <w14:ligatures w14:val="none"/>
            </w:rPr>
          </w:pPr>
          <w:hyperlink w:anchor="_Toc41053733" w:history="1">
            <w:r w:rsidR="00761629" w:rsidRPr="006D0E38">
              <w:rPr>
                <w:rStyle w:val="Hyperlink"/>
                <w:bCs/>
                <w:lang w:val="fr-CA"/>
              </w:rPr>
              <w:t>Objectifs et cibles à long terme</w:t>
            </w:r>
            <w:r w:rsidR="00761629">
              <w:rPr>
                <w:webHidden/>
              </w:rPr>
              <w:tab/>
            </w:r>
            <w:r w:rsidR="00761629">
              <w:rPr>
                <w:webHidden/>
              </w:rPr>
              <w:fldChar w:fldCharType="begin"/>
            </w:r>
            <w:r w:rsidR="00761629">
              <w:rPr>
                <w:webHidden/>
              </w:rPr>
              <w:instrText xml:space="preserve"> PAGEREF _Toc41053733 \h </w:instrText>
            </w:r>
            <w:r w:rsidR="00761629">
              <w:rPr>
                <w:webHidden/>
              </w:rPr>
            </w:r>
            <w:r w:rsidR="00761629">
              <w:rPr>
                <w:webHidden/>
              </w:rPr>
              <w:fldChar w:fldCharType="separate"/>
            </w:r>
            <w:r>
              <w:rPr>
                <w:webHidden/>
              </w:rPr>
              <w:t>41</w:t>
            </w:r>
            <w:r w:rsidR="00761629">
              <w:rPr>
                <w:webHidden/>
              </w:rPr>
              <w:fldChar w:fldCharType="end"/>
            </w:r>
          </w:hyperlink>
        </w:p>
        <w:p w14:paraId="377487A0" w14:textId="0ED88A6B" w:rsidR="00761629" w:rsidRDefault="004373E7">
          <w:pPr>
            <w:pStyle w:val="TOC2"/>
            <w:rPr>
              <w:rFonts w:asciiTheme="minorHAnsi" w:eastAsiaTheme="minorEastAsia" w:hAnsiTheme="minorHAnsi" w:cstheme="minorBidi"/>
              <w:kern w:val="0"/>
              <w:szCs w:val="22"/>
              <w:lang w:val="en-US" w:eastAsia="en-US"/>
              <w14:ligatures w14:val="none"/>
            </w:rPr>
          </w:pPr>
          <w:hyperlink w:anchor="_Toc41053734" w:history="1">
            <w:r w:rsidR="00761629" w:rsidRPr="006D0E38">
              <w:rPr>
                <w:rStyle w:val="Hyperlink"/>
                <w:bCs/>
                <w:lang w:val="fr-CA"/>
              </w:rPr>
              <w:t>Objectifs en matière d’élimination des obstacles artificiels</w:t>
            </w:r>
            <w:r w:rsidR="00761629">
              <w:rPr>
                <w:webHidden/>
              </w:rPr>
              <w:tab/>
            </w:r>
            <w:r w:rsidR="00761629">
              <w:rPr>
                <w:webHidden/>
              </w:rPr>
              <w:fldChar w:fldCharType="begin"/>
            </w:r>
            <w:r w:rsidR="00761629">
              <w:rPr>
                <w:webHidden/>
              </w:rPr>
              <w:instrText xml:space="preserve"> PAGEREF _Toc41053734 \h </w:instrText>
            </w:r>
            <w:r w:rsidR="00761629">
              <w:rPr>
                <w:webHidden/>
              </w:rPr>
            </w:r>
            <w:r w:rsidR="00761629">
              <w:rPr>
                <w:webHidden/>
              </w:rPr>
              <w:fldChar w:fldCharType="separate"/>
            </w:r>
            <w:r>
              <w:rPr>
                <w:webHidden/>
              </w:rPr>
              <w:t>42</w:t>
            </w:r>
            <w:r w:rsidR="00761629">
              <w:rPr>
                <w:webHidden/>
              </w:rPr>
              <w:fldChar w:fldCharType="end"/>
            </w:r>
          </w:hyperlink>
        </w:p>
        <w:p w14:paraId="0C83E184" w14:textId="5F40148A" w:rsidR="00761629" w:rsidRDefault="004373E7">
          <w:pPr>
            <w:pStyle w:val="TOC1"/>
            <w:rPr>
              <w:rFonts w:asciiTheme="minorHAnsi" w:eastAsiaTheme="minorEastAsia" w:hAnsiTheme="minorHAnsi" w:cstheme="minorBidi"/>
              <w:b w:val="0"/>
              <w:caps w:val="0"/>
              <w:color w:val="auto"/>
              <w:kern w:val="0"/>
              <w:szCs w:val="22"/>
              <w:lang w:val="en-US" w:eastAsia="en-US"/>
              <w14:ligatures w14:val="none"/>
            </w:rPr>
          </w:pPr>
          <w:hyperlink w:anchor="_Toc41053735" w:history="1">
            <w:r w:rsidR="00761629" w:rsidRPr="006D0E38">
              <w:rPr>
                <w:rStyle w:val="Hyperlink"/>
                <w:lang w:val="fr-CA"/>
              </w:rPr>
              <w:t>Chapitre 6 : Plan d’action à l’horizon 2023</w:t>
            </w:r>
            <w:r w:rsidR="00761629">
              <w:rPr>
                <w:webHidden/>
              </w:rPr>
              <w:tab/>
            </w:r>
            <w:r w:rsidR="00761629">
              <w:rPr>
                <w:webHidden/>
              </w:rPr>
              <w:fldChar w:fldCharType="begin"/>
            </w:r>
            <w:r w:rsidR="00761629">
              <w:rPr>
                <w:webHidden/>
              </w:rPr>
              <w:instrText xml:space="preserve"> PAGEREF _Toc41053735 \h </w:instrText>
            </w:r>
            <w:r w:rsidR="00761629">
              <w:rPr>
                <w:webHidden/>
              </w:rPr>
            </w:r>
            <w:r w:rsidR="00761629">
              <w:rPr>
                <w:webHidden/>
              </w:rPr>
              <w:fldChar w:fldCharType="separate"/>
            </w:r>
            <w:r>
              <w:rPr>
                <w:webHidden/>
              </w:rPr>
              <w:t>43</w:t>
            </w:r>
            <w:r w:rsidR="00761629">
              <w:rPr>
                <w:webHidden/>
              </w:rPr>
              <w:fldChar w:fldCharType="end"/>
            </w:r>
          </w:hyperlink>
        </w:p>
        <w:p w14:paraId="3A6F3702" w14:textId="2189DD40" w:rsidR="00761629" w:rsidRDefault="004373E7">
          <w:pPr>
            <w:pStyle w:val="TOC2"/>
            <w:rPr>
              <w:rFonts w:asciiTheme="minorHAnsi" w:eastAsiaTheme="minorEastAsia" w:hAnsiTheme="minorHAnsi" w:cstheme="minorBidi"/>
              <w:kern w:val="0"/>
              <w:szCs w:val="22"/>
              <w:lang w:val="en-US" w:eastAsia="en-US"/>
              <w14:ligatures w14:val="none"/>
            </w:rPr>
          </w:pPr>
          <w:hyperlink w:anchor="_Toc41053736" w:history="1">
            <w:r w:rsidR="00761629" w:rsidRPr="006D0E38">
              <w:rPr>
                <w:rStyle w:val="Hyperlink"/>
                <w:bCs/>
                <w:lang w:val="fr-CA"/>
              </w:rPr>
              <w:t>Types de mesures</w:t>
            </w:r>
            <w:r w:rsidR="00761629">
              <w:rPr>
                <w:webHidden/>
              </w:rPr>
              <w:tab/>
            </w:r>
            <w:r w:rsidR="00761629">
              <w:rPr>
                <w:webHidden/>
              </w:rPr>
              <w:fldChar w:fldCharType="begin"/>
            </w:r>
            <w:r w:rsidR="00761629">
              <w:rPr>
                <w:webHidden/>
              </w:rPr>
              <w:instrText xml:space="preserve"> PAGEREF _Toc41053736 \h </w:instrText>
            </w:r>
            <w:r w:rsidR="00761629">
              <w:rPr>
                <w:webHidden/>
              </w:rPr>
            </w:r>
            <w:r w:rsidR="00761629">
              <w:rPr>
                <w:webHidden/>
              </w:rPr>
              <w:fldChar w:fldCharType="separate"/>
            </w:r>
            <w:r>
              <w:rPr>
                <w:webHidden/>
              </w:rPr>
              <w:t>43</w:t>
            </w:r>
            <w:r w:rsidR="00761629">
              <w:rPr>
                <w:webHidden/>
              </w:rPr>
              <w:fldChar w:fldCharType="end"/>
            </w:r>
          </w:hyperlink>
        </w:p>
        <w:p w14:paraId="579E0817" w14:textId="320AD72D" w:rsidR="00761629" w:rsidRDefault="004373E7">
          <w:pPr>
            <w:pStyle w:val="TOC2"/>
            <w:rPr>
              <w:rFonts w:asciiTheme="minorHAnsi" w:eastAsiaTheme="minorEastAsia" w:hAnsiTheme="minorHAnsi" w:cstheme="minorBidi"/>
              <w:kern w:val="0"/>
              <w:szCs w:val="22"/>
              <w:lang w:val="en-US" w:eastAsia="en-US"/>
              <w14:ligatures w14:val="none"/>
            </w:rPr>
          </w:pPr>
          <w:hyperlink w:anchor="_Toc41053737" w:history="1">
            <w:r w:rsidR="00761629" w:rsidRPr="006D0E38">
              <w:rPr>
                <w:rStyle w:val="Hyperlink"/>
                <w:bCs/>
                <w:lang w:val="fr-CA"/>
              </w:rPr>
              <w:t>Plan d’action pour l’embauchage des Inuits à l’horizon 2023</w:t>
            </w:r>
            <w:r w:rsidR="00761629">
              <w:rPr>
                <w:webHidden/>
              </w:rPr>
              <w:tab/>
            </w:r>
            <w:r w:rsidR="00761629">
              <w:rPr>
                <w:webHidden/>
              </w:rPr>
              <w:fldChar w:fldCharType="begin"/>
            </w:r>
            <w:r w:rsidR="00761629">
              <w:rPr>
                <w:webHidden/>
              </w:rPr>
              <w:instrText xml:space="preserve"> PAGEREF _Toc41053737 \h </w:instrText>
            </w:r>
            <w:r w:rsidR="00761629">
              <w:rPr>
                <w:webHidden/>
              </w:rPr>
            </w:r>
            <w:r w:rsidR="00761629">
              <w:rPr>
                <w:webHidden/>
              </w:rPr>
              <w:fldChar w:fldCharType="separate"/>
            </w:r>
            <w:r>
              <w:rPr>
                <w:webHidden/>
              </w:rPr>
              <w:t>45</w:t>
            </w:r>
            <w:r w:rsidR="00761629">
              <w:rPr>
                <w:webHidden/>
              </w:rPr>
              <w:fldChar w:fldCharType="end"/>
            </w:r>
          </w:hyperlink>
        </w:p>
        <w:p w14:paraId="64A93551" w14:textId="758A20C3" w:rsidR="00761629" w:rsidRDefault="004373E7">
          <w:pPr>
            <w:pStyle w:val="TOC3"/>
            <w:rPr>
              <w:rFonts w:asciiTheme="minorHAnsi" w:eastAsiaTheme="minorEastAsia" w:hAnsiTheme="minorHAnsi" w:cstheme="minorBidi"/>
              <w:kern w:val="0"/>
              <w:szCs w:val="22"/>
              <w:lang w:val="en-US" w:eastAsia="en-US"/>
              <w14:ligatures w14:val="none"/>
            </w:rPr>
          </w:pPr>
          <w:hyperlink w:anchor="_Toc41053738" w:history="1">
            <w:r w:rsidR="00761629" w:rsidRPr="006D0E38">
              <w:rPr>
                <w:rStyle w:val="Hyperlink"/>
                <w:bCs/>
                <w:lang w:val="fr-CA"/>
              </w:rPr>
              <w:t>Mesures pour garantir l’efficacité de la fonction publique</w:t>
            </w:r>
            <w:r w:rsidR="00761629">
              <w:rPr>
                <w:webHidden/>
              </w:rPr>
              <w:tab/>
            </w:r>
            <w:r w:rsidR="00761629">
              <w:rPr>
                <w:webHidden/>
              </w:rPr>
              <w:fldChar w:fldCharType="begin"/>
            </w:r>
            <w:r w:rsidR="00761629">
              <w:rPr>
                <w:webHidden/>
              </w:rPr>
              <w:instrText xml:space="preserve"> PAGEREF _Toc41053738 \h </w:instrText>
            </w:r>
            <w:r w:rsidR="00761629">
              <w:rPr>
                <w:webHidden/>
              </w:rPr>
            </w:r>
            <w:r w:rsidR="00761629">
              <w:rPr>
                <w:webHidden/>
              </w:rPr>
              <w:fldChar w:fldCharType="separate"/>
            </w:r>
            <w:r>
              <w:rPr>
                <w:webHidden/>
              </w:rPr>
              <w:t>45</w:t>
            </w:r>
            <w:r w:rsidR="00761629">
              <w:rPr>
                <w:webHidden/>
              </w:rPr>
              <w:fldChar w:fldCharType="end"/>
            </w:r>
          </w:hyperlink>
        </w:p>
        <w:p w14:paraId="4A6F51E5" w14:textId="3B401858" w:rsidR="00761629" w:rsidRDefault="004373E7">
          <w:pPr>
            <w:pStyle w:val="TOC3"/>
            <w:rPr>
              <w:rFonts w:asciiTheme="minorHAnsi" w:eastAsiaTheme="minorEastAsia" w:hAnsiTheme="minorHAnsi" w:cstheme="minorBidi"/>
              <w:kern w:val="0"/>
              <w:szCs w:val="22"/>
              <w:lang w:val="en-US" w:eastAsia="en-US"/>
              <w14:ligatures w14:val="none"/>
            </w:rPr>
          </w:pPr>
          <w:hyperlink w:anchor="_Toc41053739" w:history="1">
            <w:r w:rsidR="00761629" w:rsidRPr="006D0E38">
              <w:rPr>
                <w:rStyle w:val="Hyperlink"/>
                <w:bCs/>
                <w:lang w:val="fr-CA"/>
              </w:rPr>
              <w:t>Mesures de recrutement et de dotation en personnel</w:t>
            </w:r>
            <w:r w:rsidR="00761629">
              <w:rPr>
                <w:webHidden/>
              </w:rPr>
              <w:tab/>
            </w:r>
            <w:r w:rsidR="00761629">
              <w:rPr>
                <w:webHidden/>
              </w:rPr>
              <w:fldChar w:fldCharType="begin"/>
            </w:r>
            <w:r w:rsidR="00761629">
              <w:rPr>
                <w:webHidden/>
              </w:rPr>
              <w:instrText xml:space="preserve"> PAGEREF _Toc41053739 \h </w:instrText>
            </w:r>
            <w:r w:rsidR="00761629">
              <w:rPr>
                <w:webHidden/>
              </w:rPr>
            </w:r>
            <w:r w:rsidR="00761629">
              <w:rPr>
                <w:webHidden/>
              </w:rPr>
              <w:fldChar w:fldCharType="separate"/>
            </w:r>
            <w:r>
              <w:rPr>
                <w:webHidden/>
              </w:rPr>
              <w:t>46</w:t>
            </w:r>
            <w:r w:rsidR="00761629">
              <w:rPr>
                <w:webHidden/>
              </w:rPr>
              <w:fldChar w:fldCharType="end"/>
            </w:r>
          </w:hyperlink>
        </w:p>
        <w:p w14:paraId="2BA5A67E" w14:textId="0D0BED35" w:rsidR="00761629" w:rsidRDefault="004373E7">
          <w:pPr>
            <w:pStyle w:val="TOC3"/>
            <w:rPr>
              <w:rFonts w:asciiTheme="minorHAnsi" w:eastAsiaTheme="minorEastAsia" w:hAnsiTheme="minorHAnsi" w:cstheme="minorBidi"/>
              <w:kern w:val="0"/>
              <w:szCs w:val="22"/>
              <w:lang w:val="en-US" w:eastAsia="en-US"/>
              <w14:ligatures w14:val="none"/>
            </w:rPr>
          </w:pPr>
          <w:hyperlink w:anchor="_Toc41053740" w:history="1">
            <w:r w:rsidR="00761629" w:rsidRPr="006D0E38">
              <w:rPr>
                <w:rStyle w:val="Hyperlink"/>
                <w:bCs/>
                <w:lang w:val="fr-CA"/>
              </w:rPr>
              <w:t xml:space="preserve">Mesures de planification et de supervision en matière de formation et </w:t>
            </w:r>
            <w:r w:rsidR="00761629">
              <w:rPr>
                <w:rStyle w:val="Hyperlink"/>
                <w:bCs/>
                <w:lang w:val="fr-CA"/>
              </w:rPr>
              <w:br/>
            </w:r>
            <w:r w:rsidR="00761629" w:rsidRPr="006D0E38">
              <w:rPr>
                <w:rStyle w:val="Hyperlink"/>
                <w:bCs/>
                <w:lang w:val="fr-CA"/>
              </w:rPr>
              <w:t>de perfectionnement</w:t>
            </w:r>
            <w:r w:rsidR="00761629">
              <w:rPr>
                <w:webHidden/>
              </w:rPr>
              <w:tab/>
            </w:r>
            <w:r w:rsidR="00761629">
              <w:rPr>
                <w:webHidden/>
              </w:rPr>
              <w:fldChar w:fldCharType="begin"/>
            </w:r>
            <w:r w:rsidR="00761629">
              <w:rPr>
                <w:webHidden/>
              </w:rPr>
              <w:instrText xml:space="preserve"> PAGEREF _Toc41053740 \h </w:instrText>
            </w:r>
            <w:r w:rsidR="00761629">
              <w:rPr>
                <w:webHidden/>
              </w:rPr>
            </w:r>
            <w:r w:rsidR="00761629">
              <w:rPr>
                <w:webHidden/>
              </w:rPr>
              <w:fldChar w:fldCharType="separate"/>
            </w:r>
            <w:r>
              <w:rPr>
                <w:webHidden/>
              </w:rPr>
              <w:t>47</w:t>
            </w:r>
            <w:r w:rsidR="00761629">
              <w:rPr>
                <w:webHidden/>
              </w:rPr>
              <w:fldChar w:fldCharType="end"/>
            </w:r>
          </w:hyperlink>
        </w:p>
        <w:p w14:paraId="0CF1039F" w14:textId="63D9B7B8" w:rsidR="00761629" w:rsidRDefault="004373E7">
          <w:pPr>
            <w:pStyle w:val="TOC3"/>
            <w:rPr>
              <w:rFonts w:asciiTheme="minorHAnsi" w:eastAsiaTheme="minorEastAsia" w:hAnsiTheme="minorHAnsi" w:cstheme="minorBidi"/>
              <w:kern w:val="0"/>
              <w:szCs w:val="22"/>
              <w:lang w:val="en-US" w:eastAsia="en-US"/>
              <w14:ligatures w14:val="none"/>
            </w:rPr>
          </w:pPr>
          <w:hyperlink w:anchor="_Toc41053741" w:history="1">
            <w:r w:rsidR="00761629" w:rsidRPr="006D0E38">
              <w:rPr>
                <w:rStyle w:val="Hyperlink"/>
                <w:bCs/>
                <w:lang w:val="fr-CA"/>
              </w:rPr>
              <w:t>Prestation de programmes d’études, de formation et de perfectionnement</w:t>
            </w:r>
            <w:r w:rsidR="00761629">
              <w:rPr>
                <w:webHidden/>
              </w:rPr>
              <w:tab/>
            </w:r>
            <w:r w:rsidR="00761629">
              <w:rPr>
                <w:webHidden/>
              </w:rPr>
              <w:fldChar w:fldCharType="begin"/>
            </w:r>
            <w:r w:rsidR="00761629">
              <w:rPr>
                <w:webHidden/>
              </w:rPr>
              <w:instrText xml:space="preserve"> PAGEREF _Toc41053741 \h </w:instrText>
            </w:r>
            <w:r w:rsidR="00761629">
              <w:rPr>
                <w:webHidden/>
              </w:rPr>
            </w:r>
            <w:r w:rsidR="00761629">
              <w:rPr>
                <w:webHidden/>
              </w:rPr>
              <w:fldChar w:fldCharType="separate"/>
            </w:r>
            <w:r>
              <w:rPr>
                <w:webHidden/>
              </w:rPr>
              <w:t>47</w:t>
            </w:r>
            <w:r w:rsidR="00761629">
              <w:rPr>
                <w:webHidden/>
              </w:rPr>
              <w:fldChar w:fldCharType="end"/>
            </w:r>
          </w:hyperlink>
        </w:p>
        <w:p w14:paraId="1524A80E" w14:textId="7A907751" w:rsidR="00761629" w:rsidRDefault="004373E7">
          <w:pPr>
            <w:pStyle w:val="TOC3"/>
            <w:rPr>
              <w:rFonts w:asciiTheme="minorHAnsi" w:eastAsiaTheme="minorEastAsia" w:hAnsiTheme="minorHAnsi" w:cstheme="minorBidi"/>
              <w:kern w:val="0"/>
              <w:szCs w:val="22"/>
              <w:lang w:val="en-US" w:eastAsia="en-US"/>
              <w14:ligatures w14:val="none"/>
            </w:rPr>
          </w:pPr>
          <w:hyperlink w:anchor="_Toc41053742" w:history="1">
            <w:r w:rsidR="00761629" w:rsidRPr="006D0E38">
              <w:rPr>
                <w:rStyle w:val="Hyperlink"/>
                <w:bCs/>
                <w:lang w:val="fr-CA"/>
              </w:rPr>
              <w:t>Mesures de communications et de rapprochement avec le public</w:t>
            </w:r>
            <w:r w:rsidR="00761629">
              <w:rPr>
                <w:webHidden/>
              </w:rPr>
              <w:tab/>
            </w:r>
            <w:r w:rsidR="00761629">
              <w:rPr>
                <w:webHidden/>
              </w:rPr>
              <w:fldChar w:fldCharType="begin"/>
            </w:r>
            <w:r w:rsidR="00761629">
              <w:rPr>
                <w:webHidden/>
              </w:rPr>
              <w:instrText xml:space="preserve"> PAGEREF _Toc41053742 \h </w:instrText>
            </w:r>
            <w:r w:rsidR="00761629">
              <w:rPr>
                <w:webHidden/>
              </w:rPr>
            </w:r>
            <w:r w:rsidR="00761629">
              <w:rPr>
                <w:webHidden/>
              </w:rPr>
              <w:fldChar w:fldCharType="separate"/>
            </w:r>
            <w:r>
              <w:rPr>
                <w:webHidden/>
              </w:rPr>
              <w:t>49</w:t>
            </w:r>
            <w:r w:rsidR="00761629">
              <w:rPr>
                <w:webHidden/>
              </w:rPr>
              <w:fldChar w:fldCharType="end"/>
            </w:r>
          </w:hyperlink>
        </w:p>
        <w:p w14:paraId="3A4FEAE4" w14:textId="4E880C22" w:rsidR="00761629" w:rsidRDefault="004373E7">
          <w:pPr>
            <w:pStyle w:val="TOC2"/>
            <w:rPr>
              <w:rFonts w:asciiTheme="minorHAnsi" w:eastAsiaTheme="minorEastAsia" w:hAnsiTheme="minorHAnsi" w:cstheme="minorBidi"/>
              <w:kern w:val="0"/>
              <w:szCs w:val="22"/>
              <w:lang w:val="en-US" w:eastAsia="en-US"/>
              <w14:ligatures w14:val="none"/>
            </w:rPr>
          </w:pPr>
          <w:hyperlink w:anchor="_Toc41053743" w:history="1">
            <w:r w:rsidR="00761629" w:rsidRPr="006D0E38">
              <w:rPr>
                <w:rStyle w:val="Hyperlink"/>
                <w:bCs/>
                <w:lang w:val="fr-CA"/>
              </w:rPr>
              <w:t>Suivi et compte rendu des progrès</w:t>
            </w:r>
            <w:r w:rsidR="00761629">
              <w:rPr>
                <w:webHidden/>
              </w:rPr>
              <w:tab/>
            </w:r>
            <w:r w:rsidR="00761629">
              <w:rPr>
                <w:webHidden/>
              </w:rPr>
              <w:fldChar w:fldCharType="begin"/>
            </w:r>
            <w:r w:rsidR="00761629">
              <w:rPr>
                <w:webHidden/>
              </w:rPr>
              <w:instrText xml:space="preserve"> PAGEREF _Toc41053743 \h </w:instrText>
            </w:r>
            <w:r w:rsidR="00761629">
              <w:rPr>
                <w:webHidden/>
              </w:rPr>
            </w:r>
            <w:r w:rsidR="00761629">
              <w:rPr>
                <w:webHidden/>
              </w:rPr>
              <w:fldChar w:fldCharType="separate"/>
            </w:r>
            <w:r>
              <w:rPr>
                <w:webHidden/>
              </w:rPr>
              <w:t>49</w:t>
            </w:r>
            <w:r w:rsidR="00761629">
              <w:rPr>
                <w:webHidden/>
              </w:rPr>
              <w:fldChar w:fldCharType="end"/>
            </w:r>
          </w:hyperlink>
        </w:p>
        <w:p w14:paraId="05C7D752" w14:textId="2C834FFE" w:rsidR="008E675F" w:rsidRPr="00CD71E6" w:rsidRDefault="008E675F">
          <w:pPr>
            <w:rPr>
              <w:lang w:val="fr-CA"/>
            </w:rPr>
          </w:pPr>
          <w:r w:rsidRPr="00CD71E6">
            <w:rPr>
              <w:b/>
              <w:bCs/>
              <w:noProof/>
              <w:lang w:val="fr-CA"/>
            </w:rPr>
            <w:fldChar w:fldCharType="end"/>
          </w:r>
        </w:p>
      </w:sdtContent>
    </w:sdt>
    <w:p w14:paraId="5E9C07C7" w14:textId="77777777" w:rsidR="00B7234F" w:rsidRPr="00CD71E6" w:rsidRDefault="00B7234F" w:rsidP="00B7234F">
      <w:pPr>
        <w:rPr>
          <w:lang w:val="fr-CA"/>
        </w:rPr>
      </w:pPr>
    </w:p>
    <w:p w14:paraId="22E356D4" w14:textId="77777777" w:rsidR="00712BD6" w:rsidRPr="00CD71E6" w:rsidRDefault="00712BD6">
      <w:pPr>
        <w:spacing w:after="200" w:line="276" w:lineRule="auto"/>
        <w:rPr>
          <w:rFonts w:ascii="Arial" w:hAnsi="Arial"/>
          <w:caps/>
          <w:color w:val="775F55" w:themeColor="text2"/>
          <w:sz w:val="36"/>
          <w:szCs w:val="32"/>
          <w:lang w:val="fr-CA"/>
        </w:rPr>
      </w:pPr>
      <w:r w:rsidRPr="00CD71E6">
        <w:rPr>
          <w:lang w:val="fr-CA"/>
        </w:rPr>
        <w:br w:type="page"/>
      </w:r>
    </w:p>
    <w:p w14:paraId="4053E67E" w14:textId="77777777" w:rsidR="002C4C9D" w:rsidRPr="00CD71E6" w:rsidRDefault="002C4C9D" w:rsidP="002C4C9D">
      <w:pPr>
        <w:pStyle w:val="Heading1"/>
        <w:pageBreakBefore/>
        <w:rPr>
          <w:lang w:val="fr-CA"/>
        </w:rPr>
      </w:pPr>
      <w:bookmarkStart w:id="0" w:name="_Toc13063924"/>
      <w:bookmarkStart w:id="1" w:name="_Toc41053664"/>
      <w:r w:rsidRPr="00CD71E6">
        <w:rPr>
          <w:lang w:val="fr-CA"/>
        </w:rPr>
        <w:lastRenderedPageBreak/>
        <w:t>Introduction</w:t>
      </w:r>
      <w:bookmarkEnd w:id="0"/>
      <w:bookmarkEnd w:id="1"/>
    </w:p>
    <w:p w14:paraId="6DBE39BA" w14:textId="77777777" w:rsidR="002C4C9D" w:rsidRPr="00CD71E6" w:rsidRDefault="002C4C9D" w:rsidP="002C4C9D">
      <w:pPr>
        <w:pStyle w:val="IntenseQuote"/>
        <w:rPr>
          <w:lang w:val="fr-CA"/>
        </w:rPr>
      </w:pPr>
      <w:r w:rsidRPr="00CD71E6">
        <w:rPr>
          <w:bCs/>
          <w:lang w:val="fr-CA"/>
        </w:rPr>
        <w:t>Cette section présente le plan directeur d’embauchage des Inuits du gouvernement du Nunavut à l’horizon 2023, de même que les plans ministériels détaillés d’embauchage des Inuits pour la même période.</w:t>
      </w:r>
    </w:p>
    <w:p w14:paraId="35B97920" w14:textId="77777777" w:rsidR="002C4C9D" w:rsidRPr="00CD71E6" w:rsidRDefault="002C4C9D" w:rsidP="002C4C9D">
      <w:pPr>
        <w:pStyle w:val="Heading2"/>
        <w:rPr>
          <w:lang w:val="fr-CA"/>
        </w:rPr>
      </w:pPr>
      <w:bookmarkStart w:id="2" w:name="_Toc13063925"/>
      <w:bookmarkStart w:id="3" w:name="_Toc41053665"/>
      <w:r w:rsidRPr="00CD71E6">
        <w:rPr>
          <w:bCs/>
          <w:lang w:val="fr-CA"/>
        </w:rPr>
        <w:t>Plan principal d’embauchage des Inuits à l’horizon 2023</w:t>
      </w:r>
      <w:bookmarkEnd w:id="2"/>
      <w:bookmarkEnd w:id="3"/>
      <w:r w:rsidRPr="00CD71E6">
        <w:rPr>
          <w:bCs/>
          <w:lang w:val="fr-CA"/>
        </w:rPr>
        <w:t xml:space="preserve"> </w:t>
      </w:r>
    </w:p>
    <w:p w14:paraId="27689179" w14:textId="722DE43E" w:rsidR="002C4C9D" w:rsidRPr="00CD71E6" w:rsidRDefault="002C4C9D" w:rsidP="002C4C9D">
      <w:pPr>
        <w:rPr>
          <w:lang w:val="fr-CA"/>
        </w:rPr>
      </w:pPr>
      <w:r w:rsidRPr="00CD71E6">
        <w:rPr>
          <w:lang w:val="fr-CA"/>
        </w:rPr>
        <w:t xml:space="preserve">En 2017-2018, un plan directeur pour l’embauchage des Inuits à l’horizon 2023 (« Plan directeur 2023 ») a été rédigé dans le but de dresser une orientation stratégique à long terme de l’embauche des Inuits par le gouvernement du Nunavut (« GN ») en tant qu’entité, ainsi que dans des groupes de profession ciblés dans la fonction publique. Le Plan directeur 2023 s’appuie sur les fondements établis dans le premier plan d’embauchage des Inuits, publié par le GN en 2000 et mis à jour dans le cadre des plans </w:t>
      </w:r>
      <w:r w:rsidR="00CD71E6">
        <w:rPr>
          <w:lang w:val="fr-CA"/>
        </w:rPr>
        <w:br/>
      </w:r>
      <w:r w:rsidRPr="00CD71E6">
        <w:rPr>
          <w:lang w:val="fr-CA"/>
        </w:rPr>
        <w:t>de mise en œuvre de 2003 à 2013.</w:t>
      </w:r>
    </w:p>
    <w:p w14:paraId="71A1A86B" w14:textId="77777777" w:rsidR="002C4C9D" w:rsidRPr="00CD71E6" w:rsidRDefault="002C4C9D" w:rsidP="002C4C9D">
      <w:pPr>
        <w:rPr>
          <w:lang w:val="fr-CA"/>
        </w:rPr>
      </w:pPr>
      <w:r w:rsidRPr="00CD71E6">
        <w:rPr>
          <w:lang w:val="fr-CA"/>
        </w:rPr>
        <w:t xml:space="preserve">Le GN met en œuvre les mesures indiquées dans le Plan directeur 2023 depuis sa rédaction en 2017-2018, en plus de celles formulées dans les précédents plans d’embauchage des Inuits. </w:t>
      </w:r>
    </w:p>
    <w:p w14:paraId="61C70C6D" w14:textId="62FDC4FB" w:rsidR="002C4C9D" w:rsidRPr="00CD71E6" w:rsidRDefault="002C4C9D" w:rsidP="002C4C9D">
      <w:pPr>
        <w:rPr>
          <w:lang w:val="fr-CA"/>
        </w:rPr>
      </w:pPr>
      <w:r w:rsidRPr="00CD71E6">
        <w:rPr>
          <w:lang w:val="fr-CA"/>
        </w:rPr>
        <w:t xml:space="preserve">Actualisé au début de 2019-2020, il a été diffusé au grand public après son approbation finale. Le personnel du GN et les </w:t>
      </w:r>
      <w:r w:rsidR="00CD71E6" w:rsidRPr="00CD71E6">
        <w:rPr>
          <w:lang w:val="fr-CA"/>
        </w:rPr>
        <w:t>Nunavummiut</w:t>
      </w:r>
      <w:r w:rsidRPr="00CD71E6">
        <w:rPr>
          <w:lang w:val="fr-CA"/>
        </w:rPr>
        <w:t xml:space="preserve"> peuvent accéder à ce plan en se rendant sur le site web du ministère des Ressources humaines.</w:t>
      </w:r>
    </w:p>
    <w:p w14:paraId="2C349FAB" w14:textId="77777777" w:rsidR="002C4C9D" w:rsidRPr="00CD71E6" w:rsidRDefault="002C4C9D" w:rsidP="002C4C9D">
      <w:pPr>
        <w:pStyle w:val="Heading2"/>
        <w:rPr>
          <w:lang w:val="fr-CA"/>
        </w:rPr>
      </w:pPr>
      <w:bookmarkStart w:id="4" w:name="_Toc13063926"/>
      <w:bookmarkStart w:id="5" w:name="_Toc41053666"/>
      <w:r w:rsidRPr="00CD71E6">
        <w:rPr>
          <w:bCs/>
          <w:lang w:val="fr-CA"/>
        </w:rPr>
        <w:t>Plans ministériels d’embauchage des Inuits à l’horizon 2023</w:t>
      </w:r>
      <w:bookmarkEnd w:id="4"/>
      <w:bookmarkEnd w:id="5"/>
    </w:p>
    <w:p w14:paraId="79DE3670" w14:textId="0EEC5FF4" w:rsidR="002C4C9D" w:rsidRPr="00CD71E6" w:rsidRDefault="002C4C9D" w:rsidP="002C4C9D">
      <w:pPr>
        <w:rPr>
          <w:lang w:val="fr-CA"/>
        </w:rPr>
      </w:pPr>
      <w:r w:rsidRPr="00CD71E6">
        <w:rPr>
          <w:lang w:val="fr-CA"/>
        </w:rPr>
        <w:t>En 2017-2018, les ministères du gouvernement du Nunavut et les sociétés territoriales ont rédigé des plans détaillés d’embauchage des Inuits à l’horizon 2023. Ces plans d’embauchage couvrent dix ans à partir de 2013, à l’instar du contrat actuel pour l</w:t>
      </w:r>
      <w:r w:rsidR="00CD71E6">
        <w:rPr>
          <w:lang w:val="fr-CA"/>
        </w:rPr>
        <w:t>a mise en œuvre de l’</w:t>
      </w:r>
      <w:r w:rsidRPr="00CD71E6">
        <w:rPr>
          <w:lang w:val="fr-CA"/>
        </w:rPr>
        <w:t>Accord sur les revendicat</w:t>
      </w:r>
      <w:r w:rsidR="00CD71E6">
        <w:rPr>
          <w:lang w:val="fr-CA"/>
        </w:rPr>
        <w:t>ions territoriales du Nunavut</w:t>
      </w:r>
      <w:r w:rsidRPr="00CD71E6">
        <w:rPr>
          <w:lang w:val="fr-CA"/>
        </w:rPr>
        <w:t xml:space="preserve"> (« Accord du Nunavut »).</w:t>
      </w:r>
    </w:p>
    <w:p w14:paraId="5CDB664A" w14:textId="77777777" w:rsidR="002C4C9D" w:rsidRPr="00CD71E6" w:rsidRDefault="002C4C9D" w:rsidP="002C4C9D">
      <w:pPr>
        <w:rPr>
          <w:lang w:val="fr-CA"/>
        </w:rPr>
      </w:pPr>
      <w:r w:rsidRPr="00CD71E6">
        <w:rPr>
          <w:lang w:val="fr-CA"/>
        </w:rPr>
        <w:t>Les plans ministériels d’embauchage des Inuits à l’horizon 2023 comprennent des objectifs et des cibles à court terme (d’ici mars 2020), à moyen terme (d’ici mars 2023) et à long terme (après 2023, dans les dix ans) de même qu’un plan d’action permettant d’atteindre les objectifs à court et à moyen terme. La mise en œuvre des mesures décrites dans les plans d’embauchage des Inuits à l’horizon 2023 est en cours depuis 2017-2018.</w:t>
      </w:r>
    </w:p>
    <w:p w14:paraId="67F00B9B" w14:textId="6063A7BD" w:rsidR="002C4C9D" w:rsidRPr="00CD71E6" w:rsidRDefault="002C4C9D" w:rsidP="002C4C9D">
      <w:pPr>
        <w:rPr>
          <w:lang w:val="fr-CA"/>
        </w:rPr>
      </w:pPr>
      <w:r w:rsidRPr="00CD71E6">
        <w:rPr>
          <w:lang w:val="fr-CA"/>
        </w:rPr>
        <w:t xml:space="preserve">Les objectifs, les cibles et les points à prioriser établis annuellement en matière d’embauchage des Inuits font encore partie des plans d’activités ministériels et organisationnels. Les plans d’embauchage des Inuits annuels énoncent les objectifs et les cibles d’embauchage des Inuits pour un an ainsi que les points à privilégier pour la période triennale visée par le plan d’activités. Les plans d’embauchage des Inuits annuels sont des plans continus mis à jour annuellement au cours des cycles de planification opérationnelle et d’élaboration du budget principal des dépenses. Le personnel du GN et les </w:t>
      </w:r>
      <w:r w:rsidR="00CD71E6" w:rsidRPr="00CD71E6">
        <w:rPr>
          <w:lang w:val="fr-CA"/>
        </w:rPr>
        <w:t>Nunavummiut</w:t>
      </w:r>
      <w:r w:rsidRPr="00CD71E6">
        <w:rPr>
          <w:lang w:val="fr-CA"/>
        </w:rPr>
        <w:t xml:space="preserve"> peuvent accéder aux plans d’activités annuels et aux plans d’embauchage des Inuits annuels en se rendant sur le site web du ministère des Finances.</w:t>
      </w:r>
    </w:p>
    <w:p w14:paraId="7EFA3AA2" w14:textId="1D29D86E" w:rsidR="002C4C9D" w:rsidRPr="00CD71E6" w:rsidRDefault="002C4C9D" w:rsidP="002C4C9D">
      <w:pPr>
        <w:rPr>
          <w:lang w:val="fr-CA"/>
        </w:rPr>
      </w:pPr>
      <w:r w:rsidRPr="00CD71E6">
        <w:rPr>
          <w:lang w:val="fr-CA"/>
        </w:rPr>
        <w:lastRenderedPageBreak/>
        <w:t xml:space="preserve">Les plans ministériels d’embauchage des Inuits à l’horizon 2023 ont été actualisés au début de </w:t>
      </w:r>
      <w:r w:rsidR="00CD71E6">
        <w:rPr>
          <w:lang w:val="fr-CA"/>
        </w:rPr>
        <w:br/>
      </w:r>
      <w:r w:rsidRPr="00CD71E6">
        <w:rPr>
          <w:lang w:val="fr-CA"/>
        </w:rPr>
        <w:t>2019-2020 avant d’être approuvés définitivement et diffusés au grand public. Pour accéder aux plans d’embauchage des Inuits à long terme, il suffit de se rendre sur le site web du ministère des Ressources humaines.</w:t>
      </w:r>
    </w:p>
    <w:p w14:paraId="60A84652" w14:textId="5F276F89" w:rsidR="002C4C9D" w:rsidRPr="00CD71E6" w:rsidRDefault="002C4C9D" w:rsidP="002C4C9D">
      <w:pPr>
        <w:rPr>
          <w:lang w:val="fr-CA"/>
        </w:rPr>
      </w:pPr>
      <w:r w:rsidRPr="00CD71E6">
        <w:rPr>
          <w:lang w:val="fr-CA"/>
        </w:rPr>
        <w:t xml:space="preserve">Les statistiques d’embauchage des Inuits traduisent les efforts déployés par les ministères et les organismes en vue d’augmenter l’embauchage des Inuits. Ces statistiques sont publiées trimestriellement dans les rapports </w:t>
      </w:r>
      <w:r w:rsidRPr="00B01B52">
        <w:rPr>
          <w:i/>
          <w:lang w:val="fr-CA"/>
        </w:rPr>
        <w:t>Vers une fonction publique représentative</w:t>
      </w:r>
      <w:r w:rsidRPr="00CD71E6">
        <w:rPr>
          <w:lang w:val="fr-CA"/>
        </w:rPr>
        <w:t xml:space="preserve">. Le rapport annuel de la fonction publique du GN présente des renseignements détaillés sur l’embauche des Inuits. Le public peut accéder à ces rapports en se rendant sur le site web du </w:t>
      </w:r>
      <w:bookmarkStart w:id="6" w:name="_Hlk13037531"/>
      <w:r w:rsidRPr="00CD71E6">
        <w:rPr>
          <w:lang w:val="fr-CA"/>
        </w:rPr>
        <w:t>ministère des Ressources humaines.</w:t>
      </w:r>
      <w:bookmarkEnd w:id="6"/>
    </w:p>
    <w:p w14:paraId="2F4B7856" w14:textId="77777777" w:rsidR="00761629" w:rsidRDefault="00761629">
      <w:pPr>
        <w:spacing w:after="200" w:line="276" w:lineRule="auto"/>
        <w:rPr>
          <w:rFonts w:ascii="Arial" w:hAnsi="Arial"/>
          <w:caps/>
          <w:color w:val="775F55" w:themeColor="text2"/>
          <w:sz w:val="36"/>
          <w:szCs w:val="32"/>
          <w:lang w:val="fr-CA"/>
        </w:rPr>
      </w:pPr>
      <w:bookmarkStart w:id="7" w:name="_Toc41053667"/>
      <w:r>
        <w:rPr>
          <w:lang w:val="fr-CA"/>
        </w:rPr>
        <w:br w:type="page"/>
      </w:r>
    </w:p>
    <w:p w14:paraId="0686CE53" w14:textId="06EEB4D6" w:rsidR="00DE55BD" w:rsidRPr="00CD71E6" w:rsidRDefault="00A9777E" w:rsidP="00A9777E">
      <w:pPr>
        <w:pStyle w:val="Heading1"/>
        <w:rPr>
          <w:lang w:val="fr-CA"/>
        </w:rPr>
      </w:pPr>
      <w:r w:rsidRPr="00CD71E6">
        <w:rPr>
          <w:lang w:val="fr-CA"/>
        </w:rPr>
        <w:lastRenderedPageBreak/>
        <w:t xml:space="preserve">Chapitre 1 : Plans d’embauchage des Inuits </w:t>
      </w:r>
      <w:r w:rsidR="00CD71E6">
        <w:rPr>
          <w:lang w:val="fr-CA"/>
        </w:rPr>
        <w:br/>
      </w:r>
      <w:r w:rsidRPr="00CD71E6">
        <w:rPr>
          <w:lang w:val="fr-CA"/>
        </w:rPr>
        <w:t xml:space="preserve">au GN selon le chapitre 23 de l’Accord </w:t>
      </w:r>
      <w:r w:rsidR="00761629" w:rsidRPr="00CD71E6">
        <w:rPr>
          <w:lang w:val="fr-CA"/>
        </w:rPr>
        <w:t>du</w:t>
      </w:r>
      <w:r w:rsidR="00761629">
        <w:rPr>
          <w:lang w:val="fr-CA"/>
        </w:rPr>
        <w:t> </w:t>
      </w:r>
      <w:r w:rsidRPr="00CD71E6">
        <w:rPr>
          <w:lang w:val="fr-CA"/>
        </w:rPr>
        <w:t>Nunavut</w:t>
      </w:r>
      <w:bookmarkEnd w:id="7"/>
    </w:p>
    <w:p w14:paraId="7CA5E851" w14:textId="0E9C35F6" w:rsidR="00DE55BD" w:rsidRPr="00CD71E6" w:rsidRDefault="004F53BF" w:rsidP="004F53BF">
      <w:pPr>
        <w:pStyle w:val="IntenseQuote"/>
        <w:rPr>
          <w:lang w:val="fr-CA"/>
        </w:rPr>
      </w:pPr>
      <w:r w:rsidRPr="00CD71E6">
        <w:rPr>
          <w:bCs/>
          <w:lang w:val="fr-CA"/>
        </w:rPr>
        <w:t xml:space="preserve">Le présent chapitre résume les obligations du gouvernement du Nunavut en vertu du </w:t>
      </w:r>
      <w:r w:rsidR="00761629" w:rsidRPr="00CD71E6">
        <w:rPr>
          <w:bCs/>
          <w:lang w:val="fr-CA"/>
        </w:rPr>
        <w:t>chapitre</w:t>
      </w:r>
      <w:r w:rsidR="00761629">
        <w:rPr>
          <w:bCs/>
          <w:lang w:val="fr-CA"/>
        </w:rPr>
        <w:t> </w:t>
      </w:r>
      <w:r w:rsidRPr="00CD71E6">
        <w:rPr>
          <w:bCs/>
          <w:lang w:val="fr-CA"/>
        </w:rPr>
        <w:t>23 de l’Accord du Nunavut et explique en quoi les plans d’embauchage des Inuits répondent à ces exigences ainsi qu’à d’autres.</w:t>
      </w:r>
    </w:p>
    <w:p w14:paraId="03CE650A" w14:textId="77777777" w:rsidR="00A91F09" w:rsidRPr="00CD71E6" w:rsidRDefault="00712BD6" w:rsidP="00A91F09">
      <w:pPr>
        <w:pStyle w:val="Heading2"/>
        <w:rPr>
          <w:lang w:val="fr-CA"/>
        </w:rPr>
      </w:pPr>
      <w:bookmarkStart w:id="8" w:name="_Toc41053668"/>
      <w:r w:rsidRPr="00CD71E6">
        <w:rPr>
          <w:bCs/>
          <w:lang w:val="fr-CA"/>
        </w:rPr>
        <w:t>Accord du Nunavut (1993)</w:t>
      </w:r>
      <w:bookmarkEnd w:id="8"/>
    </w:p>
    <w:p w14:paraId="2006DC9E" w14:textId="77777777" w:rsidR="00712BD6" w:rsidRPr="00CD71E6" w:rsidRDefault="00712BD6" w:rsidP="00712BD6">
      <w:pPr>
        <w:pStyle w:val="Heading3"/>
        <w:rPr>
          <w:lang w:val="fr-CA"/>
        </w:rPr>
      </w:pPr>
      <w:bookmarkStart w:id="9" w:name="_Toc41053669"/>
      <w:r w:rsidRPr="00CD71E6">
        <w:rPr>
          <w:bCs/>
          <w:lang w:val="fr-CA"/>
        </w:rPr>
        <w:t>Chapitre 23</w:t>
      </w:r>
      <w:bookmarkEnd w:id="9"/>
    </w:p>
    <w:p w14:paraId="424A64C7" w14:textId="77777777" w:rsidR="00712BD6" w:rsidRPr="00CD71E6" w:rsidRDefault="00712BD6" w:rsidP="00712BD6">
      <w:pPr>
        <w:rPr>
          <w:lang w:val="fr-CA"/>
        </w:rPr>
      </w:pPr>
      <w:r w:rsidRPr="00CD71E6">
        <w:rPr>
          <w:lang w:val="fr-CA"/>
        </w:rPr>
        <w:t>La partie 2 décrit l’objectif du chapitre 23, tandis que les parties 4 et 5 formulent les exigences détaillées des plans d’embauchage des Inuits et des plans de formation. Ces trois parties s’énoncent comme suit :</w:t>
      </w:r>
    </w:p>
    <w:p w14:paraId="3B08F5CB" w14:textId="77777777" w:rsidR="00712BD6" w:rsidRPr="00CD71E6" w:rsidRDefault="00712BD6" w:rsidP="00712BD6">
      <w:pPr>
        <w:pStyle w:val="Heading4"/>
        <w:rPr>
          <w:lang w:val="fr-CA"/>
        </w:rPr>
      </w:pPr>
      <w:r w:rsidRPr="00CD71E6">
        <w:rPr>
          <w:lang w:val="fr-CA"/>
        </w:rPr>
        <w:t>PARTIE 2 : Objectif</w:t>
      </w:r>
    </w:p>
    <w:p w14:paraId="61CA3BDE" w14:textId="3F19CC57" w:rsidR="00712BD6" w:rsidRPr="00CD71E6" w:rsidRDefault="00712BD6" w:rsidP="00712BD6">
      <w:pPr>
        <w:rPr>
          <w:lang w:val="fr-CA"/>
        </w:rPr>
      </w:pPr>
      <w:r w:rsidRPr="00CD71E6">
        <w:rPr>
          <w:lang w:val="fr-CA"/>
        </w:rPr>
        <w:t>23.2.1</w:t>
      </w:r>
      <w:r w:rsidRPr="00CD71E6">
        <w:rPr>
          <w:lang w:val="fr-CA"/>
        </w:rPr>
        <w:tab/>
        <w:t>Le présent chapitre a pour objectif d’accroitre, à un niveau représentatif, le nombre d’Inuits qui occupent un emploi au gouvernement dans la région du Nunavut. Il est admis que la réalisation de cet objectif exigera la prise de mesures tant par les Inuits que par le Gouvernement.</w:t>
      </w:r>
    </w:p>
    <w:p w14:paraId="2667ACA9" w14:textId="77777777" w:rsidR="00712BD6" w:rsidRPr="00CD71E6" w:rsidRDefault="00712BD6" w:rsidP="00712BD6">
      <w:pPr>
        <w:rPr>
          <w:lang w:val="fr-CA"/>
        </w:rPr>
      </w:pPr>
      <w:r w:rsidRPr="00CD71E6">
        <w:rPr>
          <w:lang w:val="fr-CA"/>
        </w:rPr>
        <w:t>23.2.2</w:t>
      </w:r>
      <w:r w:rsidRPr="00CD71E6">
        <w:rPr>
          <w:lang w:val="fr-CA"/>
        </w:rPr>
        <w:tab/>
        <w:t>Dans la poursuite de cet objectif, le Gouvernement et l’organisme inuit désigné collaborent à l’élaboration et à la mise en œuvre des mesures d’embauchage et de formation prévues par l’Accord du Nunavut.</w:t>
      </w:r>
    </w:p>
    <w:p w14:paraId="72579048" w14:textId="77777777" w:rsidR="00AB6EB5" w:rsidRPr="00CD71E6" w:rsidRDefault="00F530C6" w:rsidP="005F3F55">
      <w:pPr>
        <w:pStyle w:val="Heading4"/>
        <w:rPr>
          <w:lang w:val="fr-CA"/>
        </w:rPr>
      </w:pPr>
      <w:r w:rsidRPr="00CD71E6">
        <w:rPr>
          <w:lang w:val="fr-CA"/>
        </w:rPr>
        <w:t>PARTIE 4 : Plans d’embauchage des Inuits</w:t>
      </w:r>
    </w:p>
    <w:p w14:paraId="2446FF89" w14:textId="77777777" w:rsidR="00AB6EB5" w:rsidRPr="00CD71E6" w:rsidRDefault="00712BD6" w:rsidP="00AB6EB5">
      <w:pPr>
        <w:rPr>
          <w:lang w:val="fr-CA"/>
        </w:rPr>
      </w:pPr>
      <w:r w:rsidRPr="00CD71E6">
        <w:rPr>
          <w:lang w:val="fr-CA"/>
        </w:rPr>
        <w:t>23.4.1</w:t>
      </w:r>
      <w:r w:rsidRPr="00CD71E6">
        <w:rPr>
          <w:lang w:val="fr-CA"/>
        </w:rPr>
        <w:tab/>
        <w:t>Dans un délai de trois ans à compter de la date de ratification de l’Accord du Nunavut, chaque organisation gouvernementale prépare un plan d’embauchage des Inuits visant à accroitre et à maintenir à un niveau représentatif le nombre d’employés inuits.</w:t>
      </w:r>
    </w:p>
    <w:p w14:paraId="52C5FB77" w14:textId="77777777" w:rsidR="00AB6EB5" w:rsidRPr="00CD71E6" w:rsidRDefault="00AB6EB5" w:rsidP="00AB6EB5">
      <w:pPr>
        <w:rPr>
          <w:lang w:val="fr-CA"/>
        </w:rPr>
      </w:pPr>
      <w:r w:rsidRPr="00CD71E6">
        <w:rPr>
          <w:lang w:val="fr-CA"/>
        </w:rPr>
        <w:t xml:space="preserve">23.4.2 </w:t>
      </w:r>
      <w:r w:rsidRPr="00CD71E6">
        <w:rPr>
          <w:lang w:val="fr-CA"/>
        </w:rPr>
        <w:tab/>
        <w:t>Les plans d’embauchage des Inuits comportent les éléments suivants :</w:t>
      </w:r>
    </w:p>
    <w:p w14:paraId="104CF620" w14:textId="0B7EB34A" w:rsidR="00AB6EB5" w:rsidRPr="00CD71E6" w:rsidRDefault="00CD71E6" w:rsidP="00AC2406">
      <w:pPr>
        <w:ind w:left="720"/>
        <w:rPr>
          <w:lang w:val="fr-CA"/>
        </w:rPr>
      </w:pPr>
      <w:r>
        <w:rPr>
          <w:lang w:val="fr-CA"/>
        </w:rPr>
        <w:t>(a</w:t>
      </w:r>
      <w:r w:rsidR="00AB6EB5" w:rsidRPr="00CD71E6">
        <w:rPr>
          <w:lang w:val="fr-CA"/>
        </w:rPr>
        <w:t>) une analyse visant à déterminer le niveau de représentation des Inuits dans les organisations gouvernementales ainsi que les secteurs de sous-représentation par groupe professionnel et niveau de poste de même que par poste régulier à temps plein et à temps partiel;</w:t>
      </w:r>
    </w:p>
    <w:p w14:paraId="738AE0B2" w14:textId="7028A24A" w:rsidR="00A91F09" w:rsidRPr="00CD71E6" w:rsidRDefault="00CD71E6" w:rsidP="00AC2406">
      <w:pPr>
        <w:ind w:left="720"/>
        <w:rPr>
          <w:lang w:val="fr-CA"/>
        </w:rPr>
      </w:pPr>
      <w:r>
        <w:rPr>
          <w:lang w:val="fr-CA"/>
        </w:rPr>
        <w:t>(b</w:t>
      </w:r>
      <w:r w:rsidR="00AB6EB5" w:rsidRPr="00CD71E6">
        <w:rPr>
          <w:lang w:val="fr-CA"/>
        </w:rPr>
        <w:t xml:space="preserve">) une approche graduelle, visant des objectifs raisonnables à court et à moyen terme, par l’application d’échéanciers et d’objectifs numériques concernant l’embauchage d’Inuits qualifiés à tous les niveaux et dans tous les groupes professionnels où on a constaté l’existence de sous-représentation; ces objectifs doivent tenir compte du nombre d’Inuits qui sont qualifiés ou sont susceptibles de le devenir, ainsi que des prévisions touchant les besoins opérationnels et les taux d’attrition; </w:t>
      </w:r>
    </w:p>
    <w:p w14:paraId="31DAF9E9" w14:textId="0636A907" w:rsidR="00AB6EB5" w:rsidRPr="00CD71E6" w:rsidRDefault="00CD71E6" w:rsidP="00AC2406">
      <w:pPr>
        <w:ind w:left="720"/>
        <w:rPr>
          <w:lang w:val="fr-CA"/>
        </w:rPr>
      </w:pPr>
      <w:r>
        <w:rPr>
          <w:lang w:val="fr-CA"/>
        </w:rPr>
        <w:lastRenderedPageBreak/>
        <w:t>(c</w:t>
      </w:r>
      <w:r w:rsidR="00AB6EB5" w:rsidRPr="00CD71E6">
        <w:rPr>
          <w:lang w:val="fr-CA"/>
        </w:rPr>
        <w:t xml:space="preserve">) l’analyse des systèmes, des politiques, des pratiques et des méthodes appliqués par l’organisation visée en matière de ressources humaines afin de déterminer les obstacles potentiels au recrutement, à l’avancement ou aux autres possibilités d’emploi des Inuits; </w:t>
      </w:r>
    </w:p>
    <w:p w14:paraId="38B23331" w14:textId="3B2B3535" w:rsidR="00AB6EB5" w:rsidRPr="00CD71E6" w:rsidRDefault="00CD71E6" w:rsidP="00AC2406">
      <w:pPr>
        <w:ind w:left="720"/>
        <w:rPr>
          <w:lang w:val="fr-CA"/>
        </w:rPr>
      </w:pPr>
      <w:r>
        <w:rPr>
          <w:lang w:val="fr-CA"/>
        </w:rPr>
        <w:t>(d</w:t>
      </w:r>
      <w:r w:rsidR="00AB6EB5" w:rsidRPr="00CD71E6">
        <w:rPr>
          <w:lang w:val="fr-CA"/>
        </w:rPr>
        <w:t>) des mesures compatibles avec le principe du mérite et visant à accroitre le recrutement et l’avancement des Inuits, par exemple :</w:t>
      </w:r>
    </w:p>
    <w:p w14:paraId="2762A695" w14:textId="77777777" w:rsidR="00AB6EB5" w:rsidRPr="00CD71E6" w:rsidRDefault="00AB6EB5" w:rsidP="00AC2406">
      <w:pPr>
        <w:ind w:left="1440"/>
        <w:rPr>
          <w:lang w:val="fr-CA"/>
        </w:rPr>
      </w:pPr>
      <w:r w:rsidRPr="00CD71E6">
        <w:rPr>
          <w:lang w:val="fr-CA"/>
        </w:rPr>
        <w:t>(i) des mesures ayant pour objet d’éliminer la discrimination systémique, notamment par les moyens suivants :</w:t>
      </w:r>
    </w:p>
    <w:p w14:paraId="0E9D7C6C" w14:textId="77777777" w:rsidR="00AC2406" w:rsidRPr="00CD71E6" w:rsidRDefault="00AC2406" w:rsidP="009A0193">
      <w:pPr>
        <w:pStyle w:val="ListParagraph"/>
        <w:numPr>
          <w:ilvl w:val="0"/>
          <w:numId w:val="7"/>
        </w:numPr>
        <w:rPr>
          <w:lang w:val="fr-CA"/>
        </w:rPr>
      </w:pPr>
      <w:r w:rsidRPr="00CD71E6">
        <w:rPr>
          <w:lang w:val="fr-CA"/>
        </w:rPr>
        <w:t>élimination des exigences scolaires artificiellement gonflées,</w:t>
      </w:r>
    </w:p>
    <w:p w14:paraId="4ABAE9FD" w14:textId="77777777" w:rsidR="00AC2406" w:rsidRPr="00CD71E6" w:rsidRDefault="00AC2406" w:rsidP="009A0193">
      <w:pPr>
        <w:pStyle w:val="ListParagraph"/>
        <w:numPr>
          <w:ilvl w:val="0"/>
          <w:numId w:val="7"/>
        </w:numPr>
        <w:rPr>
          <w:lang w:val="fr-CA"/>
        </w:rPr>
      </w:pPr>
      <w:r w:rsidRPr="00CD71E6">
        <w:rPr>
          <w:lang w:val="fr-CA"/>
        </w:rPr>
        <w:t xml:space="preserve">élimination des exigences en matière d’expérience qui ne reposent pas sur un examen essentiel de la compétence et des aptitudes, </w:t>
      </w:r>
    </w:p>
    <w:p w14:paraId="7FAF75EF" w14:textId="77777777" w:rsidR="00AC2406" w:rsidRPr="00CD71E6" w:rsidRDefault="00AC2406" w:rsidP="009A0193">
      <w:pPr>
        <w:pStyle w:val="ListParagraph"/>
        <w:numPr>
          <w:ilvl w:val="0"/>
          <w:numId w:val="7"/>
        </w:numPr>
        <w:rPr>
          <w:lang w:val="fr-CA"/>
        </w:rPr>
      </w:pPr>
      <w:r w:rsidRPr="00CD71E6">
        <w:rPr>
          <w:lang w:val="fr-CA"/>
        </w:rPr>
        <w:t>utilisation de diverses méthodes de test afin d’éviter les préjugés d’ordre culturel;</w:t>
      </w:r>
    </w:p>
    <w:p w14:paraId="094C48AA" w14:textId="77777777" w:rsidR="00AC2406" w:rsidRPr="00CD71E6" w:rsidRDefault="00AC2406" w:rsidP="00AC2406">
      <w:pPr>
        <w:ind w:left="1440"/>
        <w:rPr>
          <w:lang w:val="fr-CA"/>
        </w:rPr>
      </w:pPr>
      <w:r w:rsidRPr="00CD71E6">
        <w:rPr>
          <w:lang w:val="fr-CA"/>
        </w:rPr>
        <w:t xml:space="preserve">(ii) des programmes de recrutement intensifs, y compris la diffusion d’avis de concours dans l’ensemble de la région du Nunavut, avis rédigés en inuktitut et, au besoin, dans les langues officielles du Canada; </w:t>
      </w:r>
    </w:p>
    <w:p w14:paraId="4E8C5888" w14:textId="77777777" w:rsidR="00AC2406" w:rsidRPr="00CD71E6" w:rsidRDefault="00AC2406" w:rsidP="00AC2406">
      <w:pPr>
        <w:ind w:left="1440"/>
        <w:rPr>
          <w:lang w:val="fr-CA"/>
        </w:rPr>
      </w:pPr>
      <w:r w:rsidRPr="00CD71E6">
        <w:rPr>
          <w:lang w:val="fr-CA"/>
        </w:rPr>
        <w:t>(iii) inclusion, dans les critères de recherche et les descriptions de poste appropriés, d’exigences relatives à la connaissance du milieu social et culturel de la région du Nunavut, notamment des aspects suivants :</w:t>
      </w:r>
    </w:p>
    <w:p w14:paraId="792D2AC6" w14:textId="77777777" w:rsidR="00AC2406" w:rsidRPr="00CD71E6" w:rsidRDefault="00AC2406" w:rsidP="009A0193">
      <w:pPr>
        <w:pStyle w:val="ListParagraph"/>
        <w:numPr>
          <w:ilvl w:val="0"/>
          <w:numId w:val="7"/>
        </w:numPr>
        <w:rPr>
          <w:lang w:val="fr-CA"/>
        </w:rPr>
      </w:pPr>
      <w:r w:rsidRPr="00CD71E6">
        <w:rPr>
          <w:lang w:val="fr-CA"/>
        </w:rPr>
        <w:t xml:space="preserve">connaissance de la culture, de la société et de l’économie inuites, </w:t>
      </w:r>
    </w:p>
    <w:p w14:paraId="54CEF82C" w14:textId="77777777" w:rsidR="00AC2406" w:rsidRPr="00CD71E6" w:rsidRDefault="00AC2406" w:rsidP="009A0193">
      <w:pPr>
        <w:pStyle w:val="ListParagraph"/>
        <w:numPr>
          <w:ilvl w:val="0"/>
          <w:numId w:val="7"/>
        </w:numPr>
        <w:rPr>
          <w:lang w:val="fr-CA"/>
        </w:rPr>
      </w:pPr>
      <w:r w:rsidRPr="00CD71E6">
        <w:rPr>
          <w:lang w:val="fr-CA"/>
        </w:rPr>
        <w:t xml:space="preserve">connaissance des réalités de la collectivité, </w:t>
      </w:r>
    </w:p>
    <w:p w14:paraId="23138EC5" w14:textId="77777777" w:rsidR="00AC2406" w:rsidRPr="00CD71E6" w:rsidRDefault="00AC2406" w:rsidP="009A0193">
      <w:pPr>
        <w:pStyle w:val="ListParagraph"/>
        <w:numPr>
          <w:ilvl w:val="0"/>
          <w:numId w:val="7"/>
        </w:numPr>
        <w:rPr>
          <w:lang w:val="fr-CA"/>
        </w:rPr>
      </w:pPr>
      <w:r w:rsidRPr="00CD71E6">
        <w:rPr>
          <w:lang w:val="fr-CA"/>
        </w:rPr>
        <w:t xml:space="preserve">connaissance pratique de l’inuktitut, </w:t>
      </w:r>
    </w:p>
    <w:p w14:paraId="4058ECCA" w14:textId="77777777" w:rsidR="00AC2406" w:rsidRPr="00CD71E6" w:rsidRDefault="00AC2406" w:rsidP="009A0193">
      <w:pPr>
        <w:pStyle w:val="ListParagraph"/>
        <w:numPr>
          <w:ilvl w:val="0"/>
          <w:numId w:val="7"/>
        </w:numPr>
        <w:rPr>
          <w:lang w:val="fr-CA"/>
        </w:rPr>
      </w:pPr>
      <w:r w:rsidRPr="00CD71E6">
        <w:rPr>
          <w:lang w:val="fr-CA"/>
        </w:rPr>
        <w:t xml:space="preserve">connaissance des caractéristiques environnementales de la région du Nunavut, </w:t>
      </w:r>
    </w:p>
    <w:p w14:paraId="2E80D754" w14:textId="77777777" w:rsidR="00AC2406" w:rsidRPr="00CD71E6" w:rsidRDefault="00AC2406" w:rsidP="009A0193">
      <w:pPr>
        <w:pStyle w:val="ListParagraph"/>
        <w:numPr>
          <w:ilvl w:val="0"/>
          <w:numId w:val="7"/>
        </w:numPr>
        <w:rPr>
          <w:lang w:val="fr-CA"/>
        </w:rPr>
      </w:pPr>
      <w:r w:rsidRPr="00CD71E6">
        <w:rPr>
          <w:lang w:val="fr-CA"/>
        </w:rPr>
        <w:t xml:space="preserve">expérience de la vie dans le Nord; </w:t>
      </w:r>
    </w:p>
    <w:p w14:paraId="1FD1721B" w14:textId="4D8028FC" w:rsidR="00AC2406" w:rsidRPr="00CD71E6" w:rsidRDefault="00AC2406" w:rsidP="00AC2406">
      <w:pPr>
        <w:ind w:left="1440"/>
        <w:rPr>
          <w:lang w:val="fr-CA"/>
        </w:rPr>
      </w:pPr>
      <w:r w:rsidRPr="00CD71E6">
        <w:rPr>
          <w:lang w:val="fr-CA"/>
        </w:rPr>
        <w:t xml:space="preserve">(iv) participation des Inuits en tant que membres des jurys et comités de sélection ou, </w:t>
      </w:r>
      <w:r w:rsidR="00CD71E6">
        <w:rPr>
          <w:lang w:val="fr-CA"/>
        </w:rPr>
        <w:br/>
      </w:r>
      <w:r w:rsidRPr="00CD71E6">
        <w:rPr>
          <w:lang w:val="fr-CA"/>
        </w:rPr>
        <w:t>si cela est impossible, en tant que conseillers de ces jurys et comités;</w:t>
      </w:r>
    </w:p>
    <w:p w14:paraId="41133F50" w14:textId="6AD408A9" w:rsidR="00AC2406" w:rsidRPr="00CD71E6" w:rsidRDefault="00AC2406" w:rsidP="00AC2406">
      <w:pPr>
        <w:ind w:left="1440"/>
        <w:rPr>
          <w:lang w:val="fr-CA"/>
        </w:rPr>
      </w:pPr>
      <w:r w:rsidRPr="00CD71E6">
        <w:rPr>
          <w:lang w:val="fr-CA"/>
        </w:rPr>
        <w:t xml:space="preserve">(v) prestation de services de </w:t>
      </w:r>
      <w:r w:rsidR="00CD71E6" w:rsidRPr="00CD71E6">
        <w:rPr>
          <w:lang w:val="fr-CA"/>
        </w:rPr>
        <w:t>counseling</w:t>
      </w:r>
      <w:r w:rsidRPr="00CD71E6">
        <w:rPr>
          <w:lang w:val="fr-CA"/>
        </w:rPr>
        <w:t xml:space="preserve">, avec une attention particulière apportée à trouver des solutions aux problèmes liés à l’accessibilité de ces services; </w:t>
      </w:r>
    </w:p>
    <w:p w14:paraId="1A70C12C" w14:textId="77777777" w:rsidR="00AC2406" w:rsidRPr="00CD71E6" w:rsidRDefault="00AC2406" w:rsidP="00AC2406">
      <w:pPr>
        <w:ind w:left="1440"/>
        <w:rPr>
          <w:lang w:val="fr-CA"/>
        </w:rPr>
      </w:pPr>
      <w:r w:rsidRPr="00CD71E6">
        <w:rPr>
          <w:lang w:val="fr-CA"/>
        </w:rPr>
        <w:t xml:space="preserve">(vi) programmes de recyclage et d’affectation pour formation en cours d’emploi permettant de réaliser les objectifs en matière d’emploi; </w:t>
      </w:r>
    </w:p>
    <w:p w14:paraId="72AF780B" w14:textId="77777777" w:rsidR="00AC2406" w:rsidRPr="00CD71E6" w:rsidRDefault="00AC2406" w:rsidP="00AC2406">
      <w:pPr>
        <w:ind w:left="1440"/>
        <w:rPr>
          <w:lang w:val="fr-CA"/>
        </w:rPr>
      </w:pPr>
      <w:r w:rsidRPr="00CD71E6">
        <w:rPr>
          <w:lang w:val="fr-CA"/>
        </w:rPr>
        <w:t xml:space="preserve">(vii) promotion des programmes d’apprentissage, de stage et d’autres mesures utiles de formation en cours d’emploi; </w:t>
      </w:r>
    </w:p>
    <w:p w14:paraId="509D2DA3" w14:textId="77777777" w:rsidR="00AC2406" w:rsidRPr="00CD71E6" w:rsidRDefault="00AC2406" w:rsidP="00AC2406">
      <w:pPr>
        <w:ind w:left="1440"/>
        <w:rPr>
          <w:lang w:val="fr-CA"/>
        </w:rPr>
      </w:pPr>
      <w:r w:rsidRPr="00CD71E6">
        <w:rPr>
          <w:lang w:val="fr-CA"/>
        </w:rPr>
        <w:t xml:space="preserve">(viii) mesures particulières de formation; </w:t>
      </w:r>
    </w:p>
    <w:p w14:paraId="38ECB8EE" w14:textId="77777777" w:rsidR="00AC2406" w:rsidRPr="00CD71E6" w:rsidRDefault="00AC2406" w:rsidP="00AC2406">
      <w:pPr>
        <w:ind w:left="1440"/>
        <w:rPr>
          <w:lang w:val="fr-CA"/>
        </w:rPr>
      </w:pPr>
      <w:r w:rsidRPr="00CD71E6">
        <w:rPr>
          <w:lang w:val="fr-CA"/>
        </w:rPr>
        <w:t>(ix) recours à des mesures déjà éprouvées pour atteindre des objectifs analogues dans le cadre d’autres initiatives du Gouvernement;</w:t>
      </w:r>
    </w:p>
    <w:p w14:paraId="6C7F5FD2" w14:textId="77777777" w:rsidR="00AC2406" w:rsidRPr="00CD71E6" w:rsidRDefault="00AC2406" w:rsidP="00AC2406">
      <w:pPr>
        <w:ind w:left="1440"/>
        <w:rPr>
          <w:lang w:val="fr-CA"/>
        </w:rPr>
      </w:pPr>
      <w:r w:rsidRPr="00CD71E6">
        <w:rPr>
          <w:lang w:val="fr-CA"/>
        </w:rPr>
        <w:t xml:space="preserve">(x) formation aux réalités interculturelles; </w:t>
      </w:r>
    </w:p>
    <w:p w14:paraId="6D8BE190" w14:textId="7471E581" w:rsidR="00AC2406" w:rsidRPr="00CD71E6" w:rsidRDefault="00CD71E6" w:rsidP="00AC2406">
      <w:pPr>
        <w:ind w:left="720"/>
        <w:rPr>
          <w:lang w:val="fr-CA"/>
        </w:rPr>
      </w:pPr>
      <w:r>
        <w:rPr>
          <w:lang w:val="fr-CA"/>
        </w:rPr>
        <w:lastRenderedPageBreak/>
        <w:t>(e</w:t>
      </w:r>
      <w:r w:rsidR="00AC2406" w:rsidRPr="00CD71E6">
        <w:rPr>
          <w:lang w:val="fr-CA"/>
        </w:rPr>
        <w:t>) désignation d’un cadre supérieur chargé de contrôler la mise en œuvre du plan;</w:t>
      </w:r>
    </w:p>
    <w:p w14:paraId="2A594F45" w14:textId="45FE729F" w:rsidR="00AC2406" w:rsidRPr="00CD71E6" w:rsidRDefault="00CD71E6" w:rsidP="00AC2406">
      <w:pPr>
        <w:ind w:left="720"/>
        <w:rPr>
          <w:lang w:val="fr-CA"/>
        </w:rPr>
      </w:pPr>
      <w:r>
        <w:rPr>
          <w:lang w:val="fr-CA"/>
        </w:rPr>
        <w:t>(f</w:t>
      </w:r>
      <w:r w:rsidR="00AC2406" w:rsidRPr="00CD71E6">
        <w:rPr>
          <w:lang w:val="fr-CA"/>
        </w:rPr>
        <w:t>) mécanisme de surveillance et de rapports relativement à la mise en œuvre du plan.</w:t>
      </w:r>
    </w:p>
    <w:p w14:paraId="3F42CA94" w14:textId="77777777" w:rsidR="00AC2406" w:rsidRPr="00CD71E6" w:rsidRDefault="00AC2406" w:rsidP="00AC2406">
      <w:pPr>
        <w:rPr>
          <w:lang w:val="fr-CA"/>
        </w:rPr>
      </w:pPr>
      <w:r w:rsidRPr="00CD71E6">
        <w:rPr>
          <w:lang w:val="fr-CA"/>
        </w:rPr>
        <w:t>23.4.3</w:t>
      </w:r>
      <w:r w:rsidRPr="00CD71E6">
        <w:rPr>
          <w:lang w:val="fr-CA"/>
        </w:rPr>
        <w:tab/>
        <w:t>Les plans d’embauchage doivent être affichés dans des endroits où les employés peuvent les consulter.</w:t>
      </w:r>
    </w:p>
    <w:p w14:paraId="006278AB" w14:textId="77777777" w:rsidR="00AC2406" w:rsidRPr="00CD71E6" w:rsidRDefault="00AC2406" w:rsidP="00AC2406">
      <w:pPr>
        <w:rPr>
          <w:lang w:val="fr-CA"/>
        </w:rPr>
      </w:pPr>
      <w:r w:rsidRPr="00CD71E6">
        <w:rPr>
          <w:lang w:val="fr-CA"/>
        </w:rPr>
        <w:t>23.4.4</w:t>
      </w:r>
      <w:r w:rsidRPr="00CD71E6">
        <w:rPr>
          <w:lang w:val="fr-CA"/>
        </w:rPr>
        <w:tab/>
        <w:t>En dépit des objectifs généraux du présent chapitre, il est entendu qu’en raison du nombre très restreint de personnes qu’emploient certaines organisations dans la région du Nunavut, l’application stricte des mesures susmentionnées n’est pas toujours faisable.</w:t>
      </w:r>
    </w:p>
    <w:p w14:paraId="5CBBF6FC" w14:textId="77777777" w:rsidR="00AC2406" w:rsidRPr="00CD71E6" w:rsidRDefault="00F530C6" w:rsidP="005F3F55">
      <w:pPr>
        <w:pStyle w:val="Heading4"/>
        <w:rPr>
          <w:lang w:val="fr-CA"/>
        </w:rPr>
      </w:pPr>
      <w:r w:rsidRPr="00CD71E6">
        <w:rPr>
          <w:lang w:val="fr-CA"/>
        </w:rPr>
        <w:t>PARTIE 5 : Formation préalable à l’emploi</w:t>
      </w:r>
    </w:p>
    <w:p w14:paraId="31FF0A99" w14:textId="77777777" w:rsidR="00AC2406" w:rsidRPr="00CD71E6" w:rsidRDefault="00AC2406" w:rsidP="00AC2406">
      <w:pPr>
        <w:rPr>
          <w:lang w:val="fr-CA"/>
        </w:rPr>
      </w:pPr>
      <w:r w:rsidRPr="00CD71E6">
        <w:rPr>
          <w:lang w:val="fr-CA"/>
        </w:rPr>
        <w:t>23.5.1</w:t>
      </w:r>
      <w:r w:rsidRPr="00CD71E6">
        <w:rPr>
          <w:lang w:val="fr-CA"/>
        </w:rPr>
        <w:tab/>
        <w:t>Les plans énoncés à la partie 4 exigeront la mise en place de mesures spéciales visant à permettre à certains Inuits d’acquérir les aptitudes nécessaires pour être qualifiés pour un emploi au gouvernement. Le gouvernement et l’organisme inuit désigné élaborent et mettent en œuvre des programmes de formation préalable à l’emploi.</w:t>
      </w:r>
    </w:p>
    <w:p w14:paraId="20466AC6" w14:textId="77777777" w:rsidR="00AC2406" w:rsidRPr="00CD71E6" w:rsidRDefault="00AC2406" w:rsidP="00AC2406">
      <w:pPr>
        <w:rPr>
          <w:lang w:val="fr-CA"/>
        </w:rPr>
      </w:pPr>
      <w:r w:rsidRPr="00CD71E6">
        <w:rPr>
          <w:lang w:val="fr-CA"/>
        </w:rPr>
        <w:t>23.5.2</w:t>
      </w:r>
      <w:r w:rsidRPr="00CD71E6">
        <w:rPr>
          <w:lang w:val="fr-CA"/>
        </w:rPr>
        <w:tab/>
        <w:t>Autant que possible, les programmes visés à l’article 23.5.1 doivent être conçus de manière à répondre aux besoins particuliers des Inuits, et ce, par divers moyens, notamment par une :</w:t>
      </w:r>
    </w:p>
    <w:p w14:paraId="487AE394" w14:textId="1534B0A7" w:rsidR="00AC2406" w:rsidRPr="00CD71E6" w:rsidRDefault="00CD71E6" w:rsidP="00AC2406">
      <w:pPr>
        <w:ind w:left="720"/>
        <w:rPr>
          <w:lang w:val="fr-CA"/>
        </w:rPr>
      </w:pPr>
      <w:r>
        <w:rPr>
          <w:lang w:val="fr-CA"/>
        </w:rPr>
        <w:t>(a</w:t>
      </w:r>
      <w:r w:rsidR="00AC2406" w:rsidRPr="00CD71E6">
        <w:rPr>
          <w:lang w:val="fr-CA"/>
        </w:rPr>
        <w:t>) instruction assurée en inuktitut;</w:t>
      </w:r>
    </w:p>
    <w:p w14:paraId="2D7980B4" w14:textId="56529A1E" w:rsidR="00AC2406" w:rsidRPr="00CD71E6" w:rsidRDefault="00CD71E6" w:rsidP="00AC2406">
      <w:pPr>
        <w:ind w:left="720"/>
        <w:rPr>
          <w:lang w:val="fr-CA"/>
        </w:rPr>
      </w:pPr>
      <w:r>
        <w:rPr>
          <w:lang w:val="fr-CA"/>
        </w:rPr>
        <w:t>(b</w:t>
      </w:r>
      <w:r w:rsidR="00AC2406" w:rsidRPr="00CD71E6">
        <w:rPr>
          <w:lang w:val="fr-CA"/>
        </w:rPr>
        <w:t>) formation offerte dans la région du Nunavut;</w:t>
      </w:r>
    </w:p>
    <w:p w14:paraId="294B4E5C" w14:textId="02430310" w:rsidR="00AC2406" w:rsidRPr="00CD71E6" w:rsidRDefault="00CD71E6" w:rsidP="00AC2406">
      <w:pPr>
        <w:ind w:left="720"/>
        <w:rPr>
          <w:lang w:val="fr-CA"/>
        </w:rPr>
      </w:pPr>
      <w:r>
        <w:rPr>
          <w:lang w:val="fr-CA"/>
        </w:rPr>
        <w:t>(c</w:t>
      </w:r>
      <w:r w:rsidR="00AC2406" w:rsidRPr="00CD71E6">
        <w:rPr>
          <w:lang w:val="fr-CA"/>
        </w:rPr>
        <w:t>) répartition des lieux de formation entre les diverses localités, étant entendu que certaines circonstances puissent nécessiter la prestation de formation dans des lieux centraux de la région du Nunavut ou dans d’autres endroits à l’extérieur de cette région;</w:t>
      </w:r>
    </w:p>
    <w:p w14:paraId="4909F883" w14:textId="61BBBCD4" w:rsidR="00AC2406" w:rsidRPr="00CD71E6" w:rsidRDefault="00CD71E6" w:rsidP="00AC2406">
      <w:pPr>
        <w:ind w:left="720"/>
        <w:rPr>
          <w:lang w:val="fr-CA"/>
        </w:rPr>
      </w:pPr>
      <w:r>
        <w:rPr>
          <w:lang w:val="fr-CA"/>
        </w:rPr>
        <w:t>(d</w:t>
      </w:r>
      <w:r w:rsidR="00AC2406" w:rsidRPr="00CD71E6">
        <w:rPr>
          <w:lang w:val="fr-CA"/>
        </w:rPr>
        <w:t>) prise en considération de la culture et du mode de vie des Inuits.</w:t>
      </w:r>
    </w:p>
    <w:p w14:paraId="1E8F924F" w14:textId="77777777" w:rsidR="00A91F09" w:rsidRPr="00CD71E6" w:rsidRDefault="00A91F09" w:rsidP="00A91F09">
      <w:pPr>
        <w:pStyle w:val="Heading2"/>
        <w:rPr>
          <w:lang w:val="fr-CA"/>
        </w:rPr>
      </w:pPr>
      <w:bookmarkStart w:id="10" w:name="_Toc41053670"/>
      <w:r w:rsidRPr="00CD71E6">
        <w:rPr>
          <w:bCs/>
          <w:lang w:val="fr-CA"/>
        </w:rPr>
        <w:t>Entente de règlement (2015)</w:t>
      </w:r>
      <w:bookmarkEnd w:id="10"/>
    </w:p>
    <w:p w14:paraId="04EC9694" w14:textId="12DE7D76" w:rsidR="00A91F09" w:rsidRPr="00CD71E6" w:rsidRDefault="00A91F09" w:rsidP="00A91F09">
      <w:pPr>
        <w:rPr>
          <w:lang w:val="fr-CA"/>
        </w:rPr>
      </w:pPr>
      <w:r w:rsidRPr="00CD71E6">
        <w:rPr>
          <w:lang w:val="fr-CA"/>
        </w:rPr>
        <w:t xml:space="preserve">Une entente de règlement conclue en mai 2015 entre le gouvernement du Canada, le gouvernement du Nunavut et la Nunavut Tunngavik Incorporated (« NTI ») renferme également, en matière de plans d’embauchage des Inuits, des obligations lesquelles sont énoncées ci-dessous. Conjointement, ces obligations et le chapitre 23 de l’Accord du Nunavut éclairent l’approche du GN en ce qui concerne les plans d’embauchage des Inuits et leur contenu. </w:t>
      </w:r>
    </w:p>
    <w:p w14:paraId="03594FE3" w14:textId="77777777" w:rsidR="00A91F09" w:rsidRPr="00CD71E6" w:rsidRDefault="00A91F09" w:rsidP="005F3F55">
      <w:pPr>
        <w:pStyle w:val="Heading4"/>
        <w:rPr>
          <w:lang w:val="fr-CA"/>
        </w:rPr>
      </w:pPr>
      <w:r w:rsidRPr="00CD71E6">
        <w:rPr>
          <w:lang w:val="fr-CA"/>
        </w:rPr>
        <w:t>Les plans d’embauchage des Inuits et les plans de formation préalable à l’emploi</w:t>
      </w:r>
    </w:p>
    <w:p w14:paraId="145A59B6" w14:textId="17C29EA2" w:rsidR="00A91F09" w:rsidRPr="00CD71E6" w:rsidRDefault="005B0051" w:rsidP="00A91F09">
      <w:pPr>
        <w:rPr>
          <w:lang w:val="fr-CA"/>
        </w:rPr>
      </w:pPr>
      <w:r w:rsidRPr="00CD71E6">
        <w:rPr>
          <w:lang w:val="fr-CA"/>
        </w:rPr>
        <w:t xml:space="preserve">25. Le gouvernement du Canada et le GN reconnaissent que le succès de l’élaboration et de la mise en œuvre des plans pour l’embauchage des Inuits et des plans pour la formation préalable à l’emploi selon les parties 3, 4 et 5 du chapitre 23 passe par une coordination complète au sein de leurs deux gouvernements. Par conséquent, chacun des deux paliers de gouvernement s’engage à : </w:t>
      </w:r>
    </w:p>
    <w:p w14:paraId="69304EF7" w14:textId="77777777" w:rsidR="00A91F09" w:rsidRPr="00CD71E6" w:rsidRDefault="005B0051" w:rsidP="005B0051">
      <w:pPr>
        <w:ind w:left="720"/>
        <w:rPr>
          <w:lang w:val="fr-CA"/>
        </w:rPr>
      </w:pPr>
      <w:r w:rsidRPr="00CD71E6">
        <w:rPr>
          <w:lang w:val="fr-CA"/>
        </w:rPr>
        <w:t>a) établir un bureau de coordination central de formation et d’embauchage des Inuits au sein de leurs gouvernements respectifs;</w:t>
      </w:r>
    </w:p>
    <w:p w14:paraId="7D524E3E" w14:textId="204C649A" w:rsidR="00A91F09" w:rsidRPr="00CD71E6" w:rsidRDefault="005B0051" w:rsidP="005B0051">
      <w:pPr>
        <w:ind w:left="720"/>
        <w:rPr>
          <w:lang w:val="fr-CA"/>
        </w:rPr>
      </w:pPr>
      <w:r w:rsidRPr="00CD71E6">
        <w:rPr>
          <w:lang w:val="fr-CA"/>
        </w:rPr>
        <w:lastRenderedPageBreak/>
        <w:t>b) établir une approche coordonnée aux plans ministériels d’embauchage des Inuits et aux plans de formation préalable à l’emploi, plans directeurs y compris, au sein de leurs gouvernements respectifs;</w:t>
      </w:r>
    </w:p>
    <w:p w14:paraId="59908BAB" w14:textId="77777777" w:rsidR="00A91F09" w:rsidRPr="00CD71E6" w:rsidRDefault="005B0051" w:rsidP="005B0051">
      <w:pPr>
        <w:ind w:left="720"/>
        <w:rPr>
          <w:lang w:val="fr-CA"/>
        </w:rPr>
      </w:pPr>
      <w:r w:rsidRPr="00CD71E6">
        <w:rPr>
          <w:lang w:val="fr-CA"/>
        </w:rPr>
        <w:t>c) s’assurer que leurs ministères et agences préparent et adoptent des plans d’action détaillés assortis d’échéanciers et d’objectifs pour la mise en œuvre des plans d’embauchage des Inuits et des plans de formation préalable à l’emploi;</w:t>
      </w:r>
    </w:p>
    <w:p w14:paraId="194B15BC" w14:textId="3DC45557" w:rsidR="00A91F09" w:rsidRPr="00CD71E6" w:rsidRDefault="005B0051" w:rsidP="005B0051">
      <w:pPr>
        <w:ind w:left="720"/>
        <w:rPr>
          <w:lang w:val="fr-CA"/>
        </w:rPr>
      </w:pPr>
      <w:r w:rsidRPr="00CD71E6">
        <w:rPr>
          <w:lang w:val="fr-CA"/>
        </w:rPr>
        <w:t xml:space="preserve">d) s’assurer que les plans d’embauchage des Inuits et les plans de formation préalable à l’emploi reflètent en tout temps les données et les analyses présentées dans les annexes </w:t>
      </w:r>
      <w:r w:rsidR="00CD71E6">
        <w:rPr>
          <w:lang w:val="fr-CA"/>
        </w:rPr>
        <w:t xml:space="preserve">D et E pour la production du </w:t>
      </w:r>
      <w:r w:rsidRPr="00CD71E6">
        <w:rPr>
          <w:i/>
          <w:lang w:val="fr-CA"/>
        </w:rPr>
        <w:t>Rapport d’analyse de la popula</w:t>
      </w:r>
      <w:r w:rsidR="00CD71E6" w:rsidRPr="00CD71E6">
        <w:rPr>
          <w:i/>
          <w:lang w:val="fr-CA"/>
        </w:rPr>
        <w:t>tion active inuite du Nunavut</w:t>
      </w:r>
      <w:r w:rsidRPr="00CD71E6">
        <w:rPr>
          <w:lang w:val="fr-CA"/>
        </w:rPr>
        <w:t xml:space="preserve">; </w:t>
      </w:r>
    </w:p>
    <w:p w14:paraId="708D9560" w14:textId="77777777" w:rsidR="00A91F09" w:rsidRPr="00CD71E6" w:rsidRDefault="005B0051" w:rsidP="005B0051">
      <w:pPr>
        <w:ind w:left="720"/>
        <w:rPr>
          <w:lang w:val="fr-CA"/>
        </w:rPr>
      </w:pPr>
      <w:r w:rsidRPr="00CD71E6">
        <w:rPr>
          <w:lang w:val="fr-CA"/>
        </w:rPr>
        <w:t xml:space="preserve">e) s’assurer que ses ministères et ses agences tiennent compte des facteurs suivants : </w:t>
      </w:r>
    </w:p>
    <w:p w14:paraId="02A87A0A" w14:textId="77777777" w:rsidR="00A91F09" w:rsidRPr="00CD71E6" w:rsidRDefault="005B0051" w:rsidP="005B0051">
      <w:pPr>
        <w:ind w:left="1440"/>
        <w:rPr>
          <w:lang w:val="fr-CA"/>
        </w:rPr>
      </w:pPr>
      <w:r w:rsidRPr="00CD71E6">
        <w:rPr>
          <w:lang w:val="fr-CA"/>
        </w:rPr>
        <w:t>i) les plans d’embauchage des Inuits et les plans de formation préalable à l’emploi doivent comprendre une description très précise et détaillée des démarches qui seront prises pour atteindre les objectifs;</w:t>
      </w:r>
    </w:p>
    <w:p w14:paraId="145E9658" w14:textId="77777777" w:rsidR="00A91F09" w:rsidRPr="00CD71E6" w:rsidRDefault="005B0051" w:rsidP="005B0051">
      <w:pPr>
        <w:ind w:left="1440"/>
        <w:rPr>
          <w:lang w:val="fr-CA"/>
        </w:rPr>
      </w:pPr>
      <w:r w:rsidRPr="00CD71E6">
        <w:rPr>
          <w:lang w:val="fr-CA"/>
        </w:rPr>
        <w:t>ii) la réussite de l’élaboration et de la mise en œuvre des plans d’embauchage des Inuits requiert :</w:t>
      </w:r>
    </w:p>
    <w:p w14:paraId="0BBA771B" w14:textId="77777777" w:rsidR="00A91F09" w:rsidRPr="00CD71E6" w:rsidRDefault="005B0051" w:rsidP="005B0051">
      <w:pPr>
        <w:ind w:left="2160"/>
        <w:rPr>
          <w:lang w:val="fr-CA"/>
        </w:rPr>
      </w:pPr>
      <w:r w:rsidRPr="00CD71E6">
        <w:rPr>
          <w:lang w:val="fr-CA"/>
        </w:rPr>
        <w:t xml:space="preserve">A) un accès élargi des Inuits à l’emploi par l’élimination d’obstacles actuels et par l’adoption de politiques, de pratiques et de procédures nouvelles et créatives en matière de recrutement, de rétention et de promotion; </w:t>
      </w:r>
    </w:p>
    <w:p w14:paraId="0B77F5B8" w14:textId="77777777" w:rsidR="00A91F09" w:rsidRPr="00CD71E6" w:rsidRDefault="005B0051" w:rsidP="005B0051">
      <w:pPr>
        <w:ind w:left="2160"/>
        <w:rPr>
          <w:lang w:val="fr-CA"/>
        </w:rPr>
      </w:pPr>
      <w:r w:rsidRPr="00CD71E6">
        <w:rPr>
          <w:lang w:val="fr-CA"/>
        </w:rPr>
        <w:t>B) la création et la mise en œuvre de politiques de priorisation en matière de formation, y compris l’élargissement de certains programmes clés et la création d’autres programmes de formation;</w:t>
      </w:r>
    </w:p>
    <w:p w14:paraId="141A3C15" w14:textId="77777777" w:rsidR="00A91F09" w:rsidRPr="00CD71E6" w:rsidRDefault="005B0051" w:rsidP="005B0051">
      <w:pPr>
        <w:ind w:left="2160"/>
        <w:rPr>
          <w:lang w:val="fr-CA"/>
        </w:rPr>
      </w:pPr>
      <w:r w:rsidRPr="00CD71E6">
        <w:rPr>
          <w:lang w:val="fr-CA"/>
        </w:rPr>
        <w:t xml:space="preserve">C) une collaboration avec NTI relativement à l’élaboration et à la mise en œuvre de plans d’embauchage des Inuits et de plans de formation préalable à l’emploi. </w:t>
      </w:r>
    </w:p>
    <w:p w14:paraId="300AB097" w14:textId="77777777" w:rsidR="00CD71E6" w:rsidRDefault="00CD71E6" w:rsidP="005E6265">
      <w:pPr>
        <w:pStyle w:val="Heading2"/>
        <w:rPr>
          <w:bCs/>
          <w:lang w:val="fr-CA"/>
        </w:rPr>
      </w:pPr>
    </w:p>
    <w:p w14:paraId="4D7FB9DC" w14:textId="77777777" w:rsidR="00A91F09" w:rsidRPr="00CD71E6" w:rsidRDefault="005E6265" w:rsidP="005E6265">
      <w:pPr>
        <w:pStyle w:val="Heading2"/>
        <w:rPr>
          <w:lang w:val="fr-CA"/>
        </w:rPr>
      </w:pPr>
      <w:bookmarkStart w:id="11" w:name="_Toc41053671"/>
      <w:r w:rsidRPr="00CD71E6">
        <w:rPr>
          <w:bCs/>
          <w:lang w:val="fr-CA"/>
        </w:rPr>
        <w:t>Un plan directeur d’embauchage des Inuits pour le GN</w:t>
      </w:r>
      <w:bookmarkEnd w:id="11"/>
    </w:p>
    <w:p w14:paraId="380A0AA8" w14:textId="77777777" w:rsidR="005E6265" w:rsidRPr="00CD71E6" w:rsidRDefault="005E6265" w:rsidP="005E6265">
      <w:pPr>
        <w:rPr>
          <w:lang w:val="fr-CA"/>
        </w:rPr>
      </w:pPr>
      <w:r w:rsidRPr="00CD71E6">
        <w:rPr>
          <w:lang w:val="fr-CA"/>
        </w:rPr>
        <w:t xml:space="preserve">Le Plan directeur 2023 présente l’orientation stratégique pour l’ensemble du GN en matière d’initiatives et de programmes pour accroitre et favoriser l’embauchage d’Inuits. Ce plan informe les plans ministériels d’embauchage des Inuits tout en offrant soutien et aide pour leur mise en œuvre coordonnée. </w:t>
      </w:r>
    </w:p>
    <w:p w14:paraId="7447B1C9" w14:textId="137FF611" w:rsidR="005E6265" w:rsidRPr="00CD71E6" w:rsidRDefault="005E6265" w:rsidP="005E6265">
      <w:pPr>
        <w:rPr>
          <w:lang w:val="fr-CA"/>
        </w:rPr>
      </w:pPr>
      <w:r w:rsidRPr="00CD71E6">
        <w:rPr>
          <w:lang w:val="fr-CA"/>
        </w:rPr>
        <w:t>Ce Plan directeur couvre la période de contrat actuel, soit de 2013 à 2023. Il incombe au sous-ministre adjoint de la gestion stratégique des ressources humaines du ministère des Ressources humaines d’élaborer le Plan directeur 2023 et d’en assurer la mise à jour.</w:t>
      </w:r>
    </w:p>
    <w:p w14:paraId="39A6107C" w14:textId="77777777" w:rsidR="009A742D" w:rsidRDefault="009A742D">
      <w:pPr>
        <w:spacing w:after="200" w:line="276" w:lineRule="auto"/>
        <w:rPr>
          <w:lang w:val="fr-CA"/>
        </w:rPr>
      </w:pPr>
      <w:r>
        <w:rPr>
          <w:lang w:val="fr-CA"/>
        </w:rPr>
        <w:br w:type="page"/>
      </w:r>
    </w:p>
    <w:p w14:paraId="7D7C554A" w14:textId="54FE44E6" w:rsidR="00A9777E" w:rsidRPr="00CD71E6" w:rsidRDefault="005E6265" w:rsidP="005E6265">
      <w:pPr>
        <w:rPr>
          <w:lang w:val="fr-CA"/>
        </w:rPr>
      </w:pPr>
      <w:r w:rsidRPr="00CD71E6">
        <w:rPr>
          <w:lang w:val="fr-CA"/>
        </w:rPr>
        <w:lastRenderedPageBreak/>
        <w:t>C’est ce document qui dicte l’orientation donnée aux plans ministériels détaillés d’embauchage des Inuits afin de traiter des problématiques et des possibilités de chaque ministère en matière d’embauchage des Inuits. Au besoin, chaque ministère révise son plan d’embauchage en tenant compte des mesures, de l’aide ou de l’orientation dictées par le Plan directeur.</w:t>
      </w:r>
    </w:p>
    <w:p w14:paraId="25E10008" w14:textId="7F6DEB1E" w:rsidR="00F203F3" w:rsidRPr="00CD71E6" w:rsidRDefault="00F203F3" w:rsidP="005E6265">
      <w:pPr>
        <w:rPr>
          <w:lang w:val="fr-CA"/>
        </w:rPr>
      </w:pPr>
      <w:r w:rsidRPr="00CD71E6">
        <w:rPr>
          <w:lang w:val="fr-CA"/>
        </w:rPr>
        <w:t>Le Plan directeur et les plans ministériels d’embauchage des Inuits sont des documents publics qui sont mis à jour régulièrement. Les mises à jour peuvent comporter des modifications mineures ou des changements d’orientation majeurs, selon les facteurs environnementaux et opérationnels en vigueur au GN.</w:t>
      </w:r>
    </w:p>
    <w:p w14:paraId="43CAE808" w14:textId="77777777" w:rsidR="00BD11CF" w:rsidRPr="00CD71E6" w:rsidRDefault="00BD11CF" w:rsidP="00BD11CF">
      <w:pPr>
        <w:pStyle w:val="Heading2"/>
        <w:rPr>
          <w:lang w:val="fr-CA"/>
        </w:rPr>
      </w:pPr>
      <w:bookmarkStart w:id="12" w:name="_Toc41053672"/>
      <w:r w:rsidRPr="00CD71E6">
        <w:rPr>
          <w:bCs/>
          <w:lang w:val="fr-CA"/>
        </w:rPr>
        <w:t>Responsabilité en matière de plans d’embauchage des Inuits</w:t>
      </w:r>
      <w:bookmarkEnd w:id="12"/>
    </w:p>
    <w:p w14:paraId="5A344C6D" w14:textId="77777777" w:rsidR="000B0570" w:rsidRPr="00CD71E6" w:rsidRDefault="000B0570" w:rsidP="000B0570">
      <w:pPr>
        <w:spacing w:after="200" w:line="276" w:lineRule="auto"/>
        <w:rPr>
          <w:lang w:val="fr-CA"/>
        </w:rPr>
      </w:pPr>
      <w:r w:rsidRPr="00CD71E6">
        <w:rPr>
          <w:lang w:val="fr-CA"/>
        </w:rPr>
        <w:t>La responsabilité de l’élaboration et de la mise en œuvre des plans d’embauchage des Inuits est partagée entre les organismes centraux, les ministères et les sociétés territoriales du GN :</w:t>
      </w:r>
    </w:p>
    <w:p w14:paraId="2364E36A" w14:textId="77777777" w:rsidR="000B0570" w:rsidRPr="00CD71E6" w:rsidRDefault="000B0570" w:rsidP="000B0570">
      <w:pPr>
        <w:pStyle w:val="Heading3"/>
        <w:rPr>
          <w:lang w:val="fr-CA"/>
        </w:rPr>
      </w:pPr>
      <w:bookmarkStart w:id="13" w:name="_Toc41053673"/>
      <w:r w:rsidRPr="00CD71E6">
        <w:rPr>
          <w:bCs/>
          <w:lang w:val="fr-CA"/>
        </w:rPr>
        <w:t>Responsabilités centrales</w:t>
      </w:r>
      <w:bookmarkEnd w:id="13"/>
    </w:p>
    <w:p w14:paraId="58B2D0EA" w14:textId="77777777" w:rsidR="00E4011D" w:rsidRPr="00CD71E6" w:rsidRDefault="006778B8" w:rsidP="000B0570">
      <w:pPr>
        <w:spacing w:after="200" w:line="276" w:lineRule="auto"/>
        <w:rPr>
          <w:lang w:val="fr-CA"/>
        </w:rPr>
      </w:pPr>
      <w:r w:rsidRPr="00CD71E6">
        <w:rPr>
          <w:lang w:val="fr-CA"/>
        </w:rPr>
        <w:t>Le ministère des Ressources humaines est le bureau central de coordination pour la formation et l’embauchage des Inuits au GN. À titre d’organisme central, le ministère des Ressources humaines est responsable de :</w:t>
      </w:r>
    </w:p>
    <w:p w14:paraId="64A5B6F4" w14:textId="77777777" w:rsidR="00E4011D" w:rsidRPr="00CD71E6" w:rsidRDefault="00E4011D" w:rsidP="0094062C">
      <w:pPr>
        <w:pStyle w:val="ListParagraph"/>
        <w:numPr>
          <w:ilvl w:val="0"/>
          <w:numId w:val="22"/>
        </w:numPr>
        <w:spacing w:after="200" w:line="276" w:lineRule="auto"/>
        <w:rPr>
          <w:lang w:val="fr-CA"/>
        </w:rPr>
      </w:pPr>
      <w:r w:rsidRPr="00CD71E6">
        <w:rPr>
          <w:lang w:val="fr-CA"/>
        </w:rPr>
        <w:t xml:space="preserve">l’élaboration et la mise en œuvre de politiques et de pratiques en gestion des ressources humaines pour l’ensemble du GN, notamment en veillant à faire lever les obstacles à l’embauchage des Inuits; </w:t>
      </w:r>
    </w:p>
    <w:p w14:paraId="78B5C973" w14:textId="77777777" w:rsidR="00E4011D" w:rsidRPr="00CD71E6" w:rsidRDefault="00E4011D" w:rsidP="0094062C">
      <w:pPr>
        <w:pStyle w:val="ListParagraph"/>
        <w:numPr>
          <w:ilvl w:val="0"/>
          <w:numId w:val="22"/>
        </w:numPr>
        <w:spacing w:after="200" w:line="276" w:lineRule="auto"/>
        <w:rPr>
          <w:lang w:val="fr-CA"/>
        </w:rPr>
      </w:pPr>
      <w:r w:rsidRPr="00CD71E6">
        <w:rPr>
          <w:lang w:val="fr-CA"/>
        </w:rPr>
        <w:t>l’élaboration et la mise en œuvre du Plan directeur d’embauchage des Inuits dans l’ensemble du GN;</w:t>
      </w:r>
    </w:p>
    <w:p w14:paraId="1C17CDC1" w14:textId="274D397F" w:rsidR="00E4011D" w:rsidRPr="00CD71E6" w:rsidRDefault="00E4011D" w:rsidP="0094062C">
      <w:pPr>
        <w:pStyle w:val="ListParagraph"/>
        <w:numPr>
          <w:ilvl w:val="0"/>
          <w:numId w:val="22"/>
        </w:numPr>
        <w:spacing w:after="200" w:line="276" w:lineRule="auto"/>
        <w:rPr>
          <w:lang w:val="fr-CA"/>
        </w:rPr>
      </w:pPr>
      <w:r w:rsidRPr="00CD71E6">
        <w:rPr>
          <w:lang w:val="fr-CA"/>
        </w:rPr>
        <w:t>la conception et le parrainage de programmes destinés à l’ensemble du GN visant à augmenter et à favoriser l’embauchage des Inuits;</w:t>
      </w:r>
    </w:p>
    <w:p w14:paraId="7714F0AE" w14:textId="2359E140" w:rsidR="00E4011D" w:rsidRPr="00CD71E6" w:rsidRDefault="00E4011D" w:rsidP="0094062C">
      <w:pPr>
        <w:pStyle w:val="ListParagraph"/>
        <w:numPr>
          <w:ilvl w:val="0"/>
          <w:numId w:val="22"/>
        </w:numPr>
        <w:spacing w:after="200" w:line="276" w:lineRule="auto"/>
        <w:rPr>
          <w:lang w:val="fr-CA"/>
        </w:rPr>
      </w:pPr>
      <w:r w:rsidRPr="00CD71E6">
        <w:rPr>
          <w:lang w:val="fr-CA"/>
        </w:rPr>
        <w:t>la prestation de conseils aux ministères en matière de planification d’embauchage des Inuits;</w:t>
      </w:r>
    </w:p>
    <w:p w14:paraId="5ABE54D2" w14:textId="5839A3E8" w:rsidR="00423370" w:rsidRPr="00CD71E6" w:rsidRDefault="00E4011D" w:rsidP="0094062C">
      <w:pPr>
        <w:pStyle w:val="ListParagraph"/>
        <w:numPr>
          <w:ilvl w:val="0"/>
          <w:numId w:val="22"/>
        </w:numPr>
        <w:spacing w:after="200" w:line="276" w:lineRule="auto"/>
        <w:rPr>
          <w:lang w:val="fr-CA"/>
        </w:rPr>
      </w:pPr>
      <w:r w:rsidRPr="00CD71E6">
        <w:rPr>
          <w:lang w:val="fr-CA"/>
        </w:rPr>
        <w:t>le suivi des progrès en vue de l’atteinte des objectifs en matière d’embauchage des Inuits.</w:t>
      </w:r>
    </w:p>
    <w:p w14:paraId="52C8F5BF" w14:textId="1AFD5E5B" w:rsidR="006778B8" w:rsidRPr="00CD71E6" w:rsidRDefault="00423370" w:rsidP="000B0570">
      <w:pPr>
        <w:spacing w:after="200" w:line="276" w:lineRule="auto"/>
        <w:rPr>
          <w:lang w:val="fr-CA"/>
        </w:rPr>
      </w:pPr>
      <w:r w:rsidRPr="00CD71E6">
        <w:rPr>
          <w:lang w:val="fr-CA"/>
        </w:rPr>
        <w:t>Il incombe au sous-ministre adjoint de la gestion stratégique des ressources humaines du ministère des Ressources humaines de superviser et de suivre le Plan directeur d’embauchage des Inuits.</w:t>
      </w:r>
    </w:p>
    <w:p w14:paraId="3EE7F8A3" w14:textId="733F20C0" w:rsidR="00E4011D" w:rsidRPr="00CD71E6" w:rsidRDefault="00E4011D" w:rsidP="00E4011D">
      <w:pPr>
        <w:spacing w:after="200" w:line="276" w:lineRule="auto"/>
        <w:rPr>
          <w:lang w:val="fr-CA"/>
        </w:rPr>
      </w:pPr>
      <w:r w:rsidRPr="00CD71E6">
        <w:rPr>
          <w:lang w:val="fr-CA"/>
        </w:rPr>
        <w:t>À titre d’organisme central, le ministère des Finances est responsable de la préparation et de la publication des rapports trimestrie</w:t>
      </w:r>
      <w:r w:rsidR="00CD71E6">
        <w:rPr>
          <w:lang w:val="fr-CA"/>
        </w:rPr>
        <w:t xml:space="preserve">ls </w:t>
      </w:r>
      <w:r w:rsidRPr="00CD71E6">
        <w:rPr>
          <w:i/>
          <w:lang w:val="fr-CA"/>
        </w:rPr>
        <w:t>Vers une fo</w:t>
      </w:r>
      <w:r w:rsidR="00CD71E6" w:rsidRPr="00CD71E6">
        <w:rPr>
          <w:i/>
          <w:lang w:val="fr-CA"/>
        </w:rPr>
        <w:t>nction publique représentative</w:t>
      </w:r>
      <w:r w:rsidRPr="00CD71E6">
        <w:rPr>
          <w:lang w:val="fr-CA"/>
        </w:rPr>
        <w:t xml:space="preserve"> présentant les statistiques d’embauchage des Inuits.</w:t>
      </w:r>
    </w:p>
    <w:p w14:paraId="02888B17" w14:textId="77777777" w:rsidR="000B0570" w:rsidRPr="00CD71E6" w:rsidRDefault="006778B8" w:rsidP="000B0570">
      <w:pPr>
        <w:pStyle w:val="Heading3"/>
        <w:rPr>
          <w:lang w:val="fr-CA"/>
        </w:rPr>
      </w:pPr>
      <w:bookmarkStart w:id="14" w:name="_Toc41053674"/>
      <w:r w:rsidRPr="00CD71E6">
        <w:rPr>
          <w:bCs/>
          <w:lang w:val="fr-CA"/>
        </w:rPr>
        <w:t>Responsabilités ministérielles</w:t>
      </w:r>
      <w:bookmarkEnd w:id="14"/>
    </w:p>
    <w:p w14:paraId="4B4C97A5" w14:textId="57D84A9A" w:rsidR="000B0570" w:rsidRPr="00CD71E6" w:rsidRDefault="000B0570" w:rsidP="000B0570">
      <w:pPr>
        <w:spacing w:after="200" w:line="276" w:lineRule="auto"/>
        <w:rPr>
          <w:lang w:val="fr-CA"/>
        </w:rPr>
      </w:pPr>
      <w:r w:rsidRPr="00CD71E6">
        <w:rPr>
          <w:lang w:val="fr-CA"/>
        </w:rPr>
        <w:t>Les ministères et les sociétés territoriales sont responsables de l’élaboration et de la mise en œuvre de leurs plans d’embauchage des Inuits, et doivent veiller à l’utilisation efficace des programmes offerts par les organismes centraux.</w:t>
      </w:r>
      <w:r w:rsidR="00CD71E6">
        <w:rPr>
          <w:lang w:val="fr-CA"/>
        </w:rPr>
        <w:t xml:space="preserve">        </w:t>
      </w:r>
    </w:p>
    <w:p w14:paraId="5E35835B" w14:textId="19CEC508" w:rsidR="004A0DF6" w:rsidRPr="00CD71E6" w:rsidRDefault="000A6C8D" w:rsidP="00B01B52">
      <w:pPr>
        <w:spacing w:after="200" w:line="276" w:lineRule="auto"/>
        <w:rPr>
          <w:lang w:val="fr-CA"/>
        </w:rPr>
      </w:pPr>
      <w:r w:rsidRPr="00CD71E6">
        <w:rPr>
          <w:lang w:val="fr-CA"/>
        </w:rPr>
        <w:t>Pour le Collège de l’Arctique du Nunavut, le recteur, avec le soutien du gestionnaire des ressources humaines, examinera le plan d’embauchage des Inuits périodiquement, au besoin.</w:t>
      </w:r>
      <w:r w:rsidR="004A0DF6" w:rsidRPr="00CD71E6">
        <w:rPr>
          <w:lang w:val="fr-CA"/>
        </w:rPr>
        <w:br w:type="page"/>
      </w:r>
    </w:p>
    <w:p w14:paraId="45FD305F" w14:textId="56706496" w:rsidR="004A0DF6" w:rsidRPr="00CD71E6" w:rsidRDefault="004A0DF6" w:rsidP="004A0DF6">
      <w:pPr>
        <w:pStyle w:val="Heading1"/>
        <w:rPr>
          <w:lang w:val="fr-CA"/>
        </w:rPr>
      </w:pPr>
      <w:bookmarkStart w:id="15" w:name="_Toc41053675"/>
      <w:r w:rsidRPr="00CD71E6">
        <w:rPr>
          <w:lang w:val="fr-CA"/>
        </w:rPr>
        <w:lastRenderedPageBreak/>
        <w:t>Chapitre 2 : Description du Collège</w:t>
      </w:r>
      <w:bookmarkEnd w:id="15"/>
    </w:p>
    <w:p w14:paraId="1D357F16" w14:textId="77777777" w:rsidR="004F53BF" w:rsidRPr="00CD71E6" w:rsidRDefault="00E00B0F" w:rsidP="004F53BF">
      <w:pPr>
        <w:pStyle w:val="IntenseQuote"/>
        <w:rPr>
          <w:lang w:val="fr-CA"/>
        </w:rPr>
      </w:pPr>
      <w:r w:rsidRPr="00CD71E6">
        <w:rPr>
          <w:bCs/>
          <w:lang w:val="fr-CA"/>
        </w:rPr>
        <w:t>Ce chapitre présente l’histoire, le mandat, les secteurs d’activités et le nombre de postes par catégories d’emplois de l’organisme.</w:t>
      </w:r>
    </w:p>
    <w:p w14:paraId="285928EA" w14:textId="30CFBAC4" w:rsidR="00850370" w:rsidRPr="00CD71E6" w:rsidRDefault="00850370" w:rsidP="00850370">
      <w:pPr>
        <w:pStyle w:val="Heading2"/>
        <w:rPr>
          <w:lang w:val="fr-CA"/>
        </w:rPr>
      </w:pPr>
      <w:bookmarkStart w:id="16" w:name="_Toc41053676"/>
      <w:r w:rsidRPr="00CD71E6">
        <w:rPr>
          <w:bCs/>
          <w:lang w:val="fr-CA"/>
        </w:rPr>
        <w:t>Brève histoire du Collège</w:t>
      </w:r>
      <w:bookmarkEnd w:id="16"/>
    </w:p>
    <w:p w14:paraId="7F835C24" w14:textId="5EA63D67" w:rsidR="00181CE3" w:rsidRPr="00CD71E6" w:rsidRDefault="004936A2" w:rsidP="00D65591">
      <w:pPr>
        <w:rPr>
          <w:lang w:val="fr-CA"/>
        </w:rPr>
      </w:pPr>
      <w:r w:rsidRPr="00CD71E6">
        <w:rPr>
          <w:lang w:val="fr-CA"/>
        </w:rPr>
        <w:t>Le Collège de l’Arctique du Nunavut a été créé le 1</w:t>
      </w:r>
      <w:r w:rsidRPr="00CD71E6">
        <w:rPr>
          <w:vertAlign w:val="superscript"/>
          <w:lang w:val="fr-CA"/>
        </w:rPr>
        <w:t>er</w:t>
      </w:r>
      <w:r w:rsidRPr="00CD71E6">
        <w:rPr>
          <w:lang w:val="fr-CA"/>
        </w:rPr>
        <w:t xml:space="preserve"> janvier 1995 à titre d’organisme public en vertu de la </w:t>
      </w:r>
      <w:r w:rsidRPr="00CD71E6">
        <w:rPr>
          <w:i/>
          <w:iCs/>
          <w:lang w:val="fr-CA"/>
        </w:rPr>
        <w:t>Loi sur le Collège de l’Arctique du Nunavut</w:t>
      </w:r>
      <w:r w:rsidRPr="00CD71E6">
        <w:rPr>
          <w:lang w:val="fr-CA"/>
        </w:rPr>
        <w:t xml:space="preserve">. À ce titre, le Collège de l’Arctique du Nunavut figure dans l’annexe B de la </w:t>
      </w:r>
      <w:r w:rsidRPr="00CD71E6">
        <w:rPr>
          <w:i/>
          <w:iCs/>
          <w:lang w:val="fr-CA"/>
        </w:rPr>
        <w:t>Loi sur la gestion des finances publiques</w:t>
      </w:r>
      <w:r w:rsidRPr="00CD71E6">
        <w:rPr>
          <w:lang w:val="fr-CA"/>
        </w:rPr>
        <w:t xml:space="preserve"> en tant que société territoriale et est considéré comme un indépendant du gouvernement du Nunavut. La partie IX de la </w:t>
      </w:r>
      <w:r w:rsidRPr="00CD71E6">
        <w:rPr>
          <w:i/>
          <w:iCs/>
          <w:lang w:val="fr-CA"/>
        </w:rPr>
        <w:t>Loi sur la gestion des finances publiques</w:t>
      </w:r>
      <w:r w:rsidRPr="00CD71E6">
        <w:rPr>
          <w:lang w:val="fr-CA"/>
        </w:rPr>
        <w:t xml:space="preserve"> énonce le cadre régissant les sociétés territoriales.</w:t>
      </w:r>
    </w:p>
    <w:p w14:paraId="5B6C2D7D" w14:textId="0F563B83" w:rsidR="00EF6BD0" w:rsidRPr="00CD71E6" w:rsidRDefault="00EF6BD0" w:rsidP="00D65591">
      <w:pPr>
        <w:rPr>
          <w:lang w:val="fr-CA"/>
        </w:rPr>
      </w:pPr>
      <w:r w:rsidRPr="00CD71E6">
        <w:rPr>
          <w:lang w:val="fr-CA"/>
        </w:rPr>
        <w:t>Le Collège rend compte à l’Assemblée législative, au Conseil exécutif et aux Nunavummiut par l’entremise de son recteur, de son Conseil des gouverneurs et du ministre responsable du Collège de l’Arctique du Nunavut. Cette approche permet de maximiser l’efficacité du Collège, dans l’intérêt présent et futur des Nunavummiut.</w:t>
      </w:r>
    </w:p>
    <w:p w14:paraId="11E60C8F" w14:textId="3A8AA88E" w:rsidR="004936A2" w:rsidRPr="00CD71E6" w:rsidRDefault="004936A2" w:rsidP="00D65591">
      <w:pPr>
        <w:rPr>
          <w:lang w:val="fr-CA"/>
        </w:rPr>
      </w:pPr>
      <w:r w:rsidRPr="00CD71E6">
        <w:rPr>
          <w:lang w:val="fr-CA"/>
        </w:rPr>
        <w:t>Le Collège de l’Arctique du Nunavut a comme objectif de fournir de l’enseignement aux adultes et aux élèves de niveau postsecondaire, y compris des programmes de niveau universitaire. Le Collège offre actuellement trois programmes en vue de l’obtention d’un diplôme universitaire. Nos partenaires universitaires confèrent les diplômes aux apprenants qui ont réussi ces programmes. En plus de fournir de l’éducation de base des adultes et une gamme de programmes professionnels, le Collège offre de la formation ciblée, notamment du développement de leadership, de la formation maritime et halieutique, des programmes de préapprentissage et de formation à un métier, et le programme d’administration de bureau. En outre, le Collège favorise l’élargissement et la rétention des connaissances grâce aux travaux de recherche appliquée réalisés à l’Institut de recherche du Nunavut et encourage la publication locale et le développement des ressources par l’entremise de NAC Media.</w:t>
      </w:r>
    </w:p>
    <w:p w14:paraId="661D5409" w14:textId="77777777" w:rsidR="00D81FB0" w:rsidRPr="00CD71E6" w:rsidRDefault="00D81FB0" w:rsidP="00F8627B">
      <w:pPr>
        <w:pStyle w:val="Heading2"/>
        <w:rPr>
          <w:lang w:val="fr-CA"/>
        </w:rPr>
      </w:pPr>
      <w:bookmarkStart w:id="17" w:name="_Toc41053677"/>
      <w:r w:rsidRPr="00CD71E6">
        <w:rPr>
          <w:bCs/>
          <w:lang w:val="fr-CA"/>
        </w:rPr>
        <w:t>Mandat</w:t>
      </w:r>
      <w:bookmarkEnd w:id="17"/>
    </w:p>
    <w:p w14:paraId="601A07F3" w14:textId="28DA9F48" w:rsidR="00850370" w:rsidRPr="00CD71E6" w:rsidRDefault="00850370" w:rsidP="003F226B">
      <w:pPr>
        <w:pStyle w:val="Heading3"/>
        <w:rPr>
          <w:lang w:val="fr-CA"/>
        </w:rPr>
      </w:pPr>
      <w:bookmarkStart w:id="18" w:name="_Toc41053678"/>
      <w:r w:rsidRPr="00CD71E6">
        <w:rPr>
          <w:bCs/>
          <w:lang w:val="fr-CA"/>
        </w:rPr>
        <w:t>Mission</w:t>
      </w:r>
      <w:bookmarkEnd w:id="18"/>
    </w:p>
    <w:p w14:paraId="0337B934" w14:textId="615B7F5B" w:rsidR="00EF6BD0" w:rsidRPr="00CD71E6" w:rsidRDefault="004936A2" w:rsidP="000A6C8D">
      <w:pPr>
        <w:rPr>
          <w:lang w:val="fr-CA"/>
        </w:rPr>
      </w:pPr>
      <w:r w:rsidRPr="00CD71E6">
        <w:rPr>
          <w:lang w:val="fr-CA"/>
        </w:rPr>
        <w:t xml:space="preserve">La mission du Collège de l’Arctique du Nunavut consiste à renforcer la population et les communautés du Nunavut en fournissant des occasions de formation continue aux adultes Nunavummiut. </w:t>
      </w:r>
      <w:r w:rsidR="00B22CA8">
        <w:rPr>
          <w:lang w:val="fr-CA"/>
        </w:rPr>
        <w:br/>
      </w:r>
      <w:r w:rsidRPr="00CD71E6">
        <w:rPr>
          <w:lang w:val="fr-CA"/>
        </w:rPr>
        <w:t>Pour ce faire, le Collège offre des programmes de carrière de qualité créés en tenant compte des commentaires de nos partenaires dans l’ensemble de l’Arctique et du Canada, et rend plus accessibles les avantages des connaissances traditionnelles des Inuits et de la science des régions du Sud.</w:t>
      </w:r>
    </w:p>
    <w:p w14:paraId="65F59FDC" w14:textId="401F54DB" w:rsidR="004936A2" w:rsidRPr="00CD71E6" w:rsidRDefault="004936A2" w:rsidP="003F226B">
      <w:pPr>
        <w:pStyle w:val="Heading3"/>
        <w:rPr>
          <w:lang w:val="fr-CA"/>
        </w:rPr>
      </w:pPr>
      <w:bookmarkStart w:id="19" w:name="_Toc41053679"/>
      <w:r w:rsidRPr="00CD71E6">
        <w:rPr>
          <w:bCs/>
          <w:lang w:val="fr-CA"/>
        </w:rPr>
        <w:t>Principes</w:t>
      </w:r>
      <w:bookmarkEnd w:id="19"/>
    </w:p>
    <w:p w14:paraId="47CE9E09" w14:textId="77777777" w:rsidR="004936A2" w:rsidRPr="00CD71E6" w:rsidRDefault="004936A2" w:rsidP="004936A2">
      <w:pPr>
        <w:rPr>
          <w:lang w:val="fr-CA"/>
        </w:rPr>
      </w:pPr>
      <w:r w:rsidRPr="00CD71E6">
        <w:rPr>
          <w:lang w:val="fr-CA"/>
        </w:rPr>
        <w:t>Les principes du Collège de l’Arctique du Nunavut servent de balises pour créer un établissement axé sur les apprenants qui reflète les valeurs, croyances et connaissances inuites. Le Collège est un établissement inclusif qui :</w:t>
      </w:r>
    </w:p>
    <w:p w14:paraId="5C919356" w14:textId="77777777" w:rsidR="004936A2" w:rsidRPr="00CD71E6" w:rsidRDefault="004936A2" w:rsidP="0094062C">
      <w:pPr>
        <w:numPr>
          <w:ilvl w:val="0"/>
          <w:numId w:val="17"/>
        </w:numPr>
        <w:tabs>
          <w:tab w:val="clear" w:pos="720"/>
        </w:tabs>
        <w:spacing w:after="0" w:line="240" w:lineRule="auto"/>
        <w:ind w:left="426" w:hanging="357"/>
        <w:rPr>
          <w:lang w:val="fr-CA"/>
        </w:rPr>
      </w:pPr>
      <w:r w:rsidRPr="00CD71E6">
        <w:rPr>
          <w:lang w:val="fr-CA"/>
        </w:rPr>
        <w:lastRenderedPageBreak/>
        <w:t>respecte et honore la langue et la culture inuktutes;</w:t>
      </w:r>
    </w:p>
    <w:p w14:paraId="57CE42CD" w14:textId="77777777" w:rsidR="004936A2" w:rsidRPr="00CD71E6" w:rsidRDefault="004936A2" w:rsidP="0094062C">
      <w:pPr>
        <w:numPr>
          <w:ilvl w:val="0"/>
          <w:numId w:val="17"/>
        </w:numPr>
        <w:tabs>
          <w:tab w:val="clear" w:pos="720"/>
        </w:tabs>
        <w:spacing w:after="0" w:line="240" w:lineRule="auto"/>
        <w:ind w:left="426" w:hanging="357"/>
        <w:rPr>
          <w:lang w:val="fr-CA"/>
        </w:rPr>
      </w:pPr>
      <w:r w:rsidRPr="00CD71E6">
        <w:rPr>
          <w:lang w:val="fr-CA"/>
        </w:rPr>
        <w:t>fait en sorte que les aînés fassent partie intégrante de la vie collégiale;</w:t>
      </w:r>
    </w:p>
    <w:p w14:paraId="1EE59648" w14:textId="77777777" w:rsidR="004936A2" w:rsidRPr="00CD71E6" w:rsidRDefault="004936A2" w:rsidP="0094062C">
      <w:pPr>
        <w:numPr>
          <w:ilvl w:val="0"/>
          <w:numId w:val="17"/>
        </w:numPr>
        <w:tabs>
          <w:tab w:val="clear" w:pos="720"/>
        </w:tabs>
        <w:spacing w:after="0" w:line="240" w:lineRule="auto"/>
        <w:ind w:left="426" w:hanging="357"/>
        <w:rPr>
          <w:lang w:val="fr-CA"/>
        </w:rPr>
      </w:pPr>
      <w:r w:rsidRPr="00CD71E6">
        <w:rPr>
          <w:lang w:val="fr-CA"/>
        </w:rPr>
        <w:t>favorise la compréhension de la langue et de la culture inuites;</w:t>
      </w:r>
    </w:p>
    <w:p w14:paraId="68C2F988" w14:textId="77777777" w:rsidR="004936A2" w:rsidRPr="00CD71E6" w:rsidRDefault="004936A2" w:rsidP="0094062C">
      <w:pPr>
        <w:numPr>
          <w:ilvl w:val="0"/>
          <w:numId w:val="17"/>
        </w:numPr>
        <w:tabs>
          <w:tab w:val="clear" w:pos="720"/>
        </w:tabs>
        <w:spacing w:after="0" w:line="240" w:lineRule="auto"/>
        <w:ind w:left="426" w:hanging="357"/>
        <w:rPr>
          <w:lang w:val="fr-CA"/>
        </w:rPr>
      </w:pPr>
      <w:r w:rsidRPr="00CD71E6">
        <w:rPr>
          <w:lang w:val="fr-CA"/>
        </w:rPr>
        <w:t>accorde une importance aux liens qu’entretiennent les apprenants avec leur famille et leur collectivité;</w:t>
      </w:r>
    </w:p>
    <w:p w14:paraId="1AEBCB26" w14:textId="77777777" w:rsidR="004936A2" w:rsidRPr="00CD71E6" w:rsidRDefault="004936A2" w:rsidP="0094062C">
      <w:pPr>
        <w:numPr>
          <w:ilvl w:val="0"/>
          <w:numId w:val="17"/>
        </w:numPr>
        <w:tabs>
          <w:tab w:val="clear" w:pos="720"/>
        </w:tabs>
        <w:spacing w:after="0" w:line="240" w:lineRule="auto"/>
        <w:ind w:left="426" w:hanging="357"/>
        <w:rPr>
          <w:lang w:val="fr-CA"/>
        </w:rPr>
      </w:pPr>
      <w:r w:rsidRPr="00CD71E6">
        <w:rPr>
          <w:lang w:val="fr-CA"/>
        </w:rPr>
        <w:t>prépare les apprenants à mener une carrière enrichissante et une vie saine;</w:t>
      </w:r>
    </w:p>
    <w:p w14:paraId="62DD2421" w14:textId="77777777" w:rsidR="004936A2" w:rsidRPr="00CD71E6" w:rsidRDefault="004936A2" w:rsidP="0094062C">
      <w:pPr>
        <w:numPr>
          <w:ilvl w:val="0"/>
          <w:numId w:val="17"/>
        </w:numPr>
        <w:tabs>
          <w:tab w:val="clear" w:pos="720"/>
        </w:tabs>
        <w:spacing w:after="0" w:line="240" w:lineRule="auto"/>
        <w:ind w:left="426" w:hanging="357"/>
        <w:rPr>
          <w:lang w:val="fr-CA"/>
        </w:rPr>
      </w:pPr>
      <w:r w:rsidRPr="00CD71E6">
        <w:rPr>
          <w:lang w:val="fr-CA"/>
        </w:rPr>
        <w:t>place le bien-être des apprenants au rang des priorités et offre un solide réseau de soutien;</w:t>
      </w:r>
    </w:p>
    <w:p w14:paraId="58BFF016" w14:textId="77777777" w:rsidR="004936A2" w:rsidRPr="00CD71E6" w:rsidRDefault="004936A2" w:rsidP="0094062C">
      <w:pPr>
        <w:numPr>
          <w:ilvl w:val="0"/>
          <w:numId w:val="17"/>
        </w:numPr>
        <w:tabs>
          <w:tab w:val="clear" w:pos="720"/>
        </w:tabs>
        <w:spacing w:after="0" w:line="240" w:lineRule="auto"/>
        <w:ind w:left="426" w:hanging="357"/>
        <w:rPr>
          <w:lang w:val="fr-CA"/>
        </w:rPr>
      </w:pPr>
      <w:r w:rsidRPr="00CD71E6">
        <w:rPr>
          <w:lang w:val="fr-CA"/>
        </w:rPr>
        <w:t>fait la promotion de l’apprentissage comme une expérience qui change une vie et rejoint la personne tout entière (corps, esprit et âme);</w:t>
      </w:r>
    </w:p>
    <w:p w14:paraId="566A5D9F" w14:textId="77777777" w:rsidR="004936A2" w:rsidRPr="00CD71E6" w:rsidRDefault="004936A2" w:rsidP="0094062C">
      <w:pPr>
        <w:numPr>
          <w:ilvl w:val="0"/>
          <w:numId w:val="17"/>
        </w:numPr>
        <w:tabs>
          <w:tab w:val="clear" w:pos="720"/>
        </w:tabs>
        <w:spacing w:after="0" w:line="240" w:lineRule="auto"/>
        <w:ind w:left="426" w:hanging="357"/>
        <w:rPr>
          <w:lang w:val="fr-CA"/>
        </w:rPr>
      </w:pPr>
      <w:r w:rsidRPr="00CD71E6">
        <w:rPr>
          <w:lang w:val="fr-CA"/>
        </w:rPr>
        <w:t>favorise le perfectionnement personnel, professionnel et scolaire des apprenants et des membres du personnel;</w:t>
      </w:r>
    </w:p>
    <w:p w14:paraId="4996909A" w14:textId="77777777" w:rsidR="004936A2" w:rsidRPr="00CD71E6" w:rsidRDefault="004936A2" w:rsidP="0094062C">
      <w:pPr>
        <w:numPr>
          <w:ilvl w:val="0"/>
          <w:numId w:val="17"/>
        </w:numPr>
        <w:tabs>
          <w:tab w:val="clear" w:pos="720"/>
        </w:tabs>
        <w:spacing w:after="0" w:line="240" w:lineRule="auto"/>
        <w:ind w:left="426" w:hanging="357"/>
        <w:rPr>
          <w:lang w:val="fr-CA"/>
        </w:rPr>
      </w:pPr>
      <w:r w:rsidRPr="00CD71E6">
        <w:rPr>
          <w:lang w:val="fr-CA"/>
        </w:rPr>
        <w:t>amène les apprenants à participer activement à tous les aspects de l’apprentissage et de l’évaluation;</w:t>
      </w:r>
    </w:p>
    <w:p w14:paraId="303636BE" w14:textId="77777777" w:rsidR="004936A2" w:rsidRPr="00CD71E6" w:rsidRDefault="004936A2" w:rsidP="0094062C">
      <w:pPr>
        <w:numPr>
          <w:ilvl w:val="0"/>
          <w:numId w:val="17"/>
        </w:numPr>
        <w:tabs>
          <w:tab w:val="clear" w:pos="720"/>
        </w:tabs>
        <w:spacing w:after="0" w:line="240" w:lineRule="auto"/>
        <w:ind w:left="426" w:hanging="357"/>
        <w:rPr>
          <w:lang w:val="fr-CA"/>
        </w:rPr>
      </w:pPr>
      <w:r w:rsidRPr="00CD71E6">
        <w:rPr>
          <w:lang w:val="fr-CA"/>
        </w:rPr>
        <w:t>veille à ce que ses diplômes soient conformes aux normes nationales.</w:t>
      </w:r>
    </w:p>
    <w:p w14:paraId="1B02B223" w14:textId="3B39BBCF" w:rsidR="004936A2" w:rsidRPr="00CD71E6" w:rsidRDefault="004936A2" w:rsidP="003F226B">
      <w:pPr>
        <w:pStyle w:val="Heading3"/>
        <w:rPr>
          <w:lang w:val="fr-CA"/>
        </w:rPr>
      </w:pPr>
      <w:bookmarkStart w:id="20" w:name="_Toc41053680"/>
      <w:r w:rsidRPr="00CD71E6">
        <w:rPr>
          <w:bCs/>
          <w:lang w:val="fr-CA"/>
        </w:rPr>
        <w:t>Objectifs stratégiques</w:t>
      </w:r>
      <w:bookmarkEnd w:id="20"/>
    </w:p>
    <w:p w14:paraId="40F73D43" w14:textId="77777777" w:rsidR="004936A2" w:rsidRPr="00CD71E6" w:rsidRDefault="004936A2" w:rsidP="00D65591">
      <w:pPr>
        <w:rPr>
          <w:lang w:val="fr-CA"/>
        </w:rPr>
      </w:pPr>
      <w:r w:rsidRPr="00CD71E6">
        <w:rPr>
          <w:lang w:val="fr-CA"/>
        </w:rPr>
        <w:t>Le Conseil des gouverneurs du Collège de l’Arctique du Nunavut a établi quatre objectifs stratégiques qui cadrent avec son mandat.</w:t>
      </w:r>
    </w:p>
    <w:p w14:paraId="0C71C096" w14:textId="67F61232" w:rsidR="004936A2" w:rsidRPr="00CD71E6" w:rsidRDefault="004936A2" w:rsidP="0094062C">
      <w:pPr>
        <w:pStyle w:val="ListParagraph"/>
        <w:numPr>
          <w:ilvl w:val="0"/>
          <w:numId w:val="19"/>
        </w:numPr>
        <w:spacing w:after="40"/>
        <w:ind w:left="360"/>
        <w:rPr>
          <w:u w:val="single"/>
          <w:lang w:val="fr-CA"/>
        </w:rPr>
      </w:pPr>
      <w:r w:rsidRPr="00CD71E6">
        <w:rPr>
          <w:b/>
          <w:bCs/>
          <w:u w:val="single"/>
          <w:lang w:val="fr-CA"/>
        </w:rPr>
        <w:t>Collectivités</w:t>
      </w:r>
      <w:r w:rsidRPr="00B01B52">
        <w:rPr>
          <w:b/>
          <w:bCs/>
          <w:u w:val="single"/>
          <w:lang w:val="fr-CA"/>
        </w:rPr>
        <w:t xml:space="preserve"> :</w:t>
      </w:r>
      <w:r w:rsidRPr="00CD71E6">
        <w:rPr>
          <w:b/>
          <w:bCs/>
          <w:u w:val="single"/>
          <w:lang w:val="fr-CA"/>
        </w:rPr>
        <w:t xml:space="preserve"> Améliorer les programmes et les services aux collectivités</w:t>
      </w:r>
    </w:p>
    <w:p w14:paraId="02F5DFA9" w14:textId="77777777" w:rsidR="004936A2" w:rsidRPr="00CD71E6" w:rsidRDefault="004936A2" w:rsidP="00D65591">
      <w:pPr>
        <w:ind w:left="68"/>
        <w:rPr>
          <w:b/>
          <w:lang w:val="fr-CA"/>
        </w:rPr>
      </w:pPr>
      <w:r w:rsidRPr="00CD71E6">
        <w:rPr>
          <w:lang w:val="fr-CA"/>
        </w:rPr>
        <w:t xml:space="preserve">Le besoin continuel d’accroître l’accessibilité aux possibilités d’apprentissage des adultes dans les collectivités est une priorité constante. Le fait d’offrir une gamme de programmes dans les collectivités mène à une formation accrue pour l’emploi. </w:t>
      </w:r>
    </w:p>
    <w:p w14:paraId="2D920D78" w14:textId="77777777" w:rsidR="004936A2" w:rsidRPr="00CD71E6" w:rsidRDefault="004936A2" w:rsidP="0094062C">
      <w:pPr>
        <w:pStyle w:val="ListParagraph"/>
        <w:numPr>
          <w:ilvl w:val="0"/>
          <w:numId w:val="19"/>
        </w:numPr>
        <w:spacing w:after="40" w:line="240" w:lineRule="auto"/>
        <w:ind w:left="360"/>
        <w:rPr>
          <w:b/>
          <w:u w:val="single"/>
          <w:lang w:val="fr-CA"/>
        </w:rPr>
      </w:pPr>
      <w:r w:rsidRPr="00CD71E6">
        <w:rPr>
          <w:b/>
          <w:bCs/>
          <w:u w:val="single"/>
          <w:lang w:val="fr-CA"/>
        </w:rPr>
        <w:t>Culture</w:t>
      </w:r>
      <w:r w:rsidRPr="00B01B52">
        <w:rPr>
          <w:b/>
          <w:bCs/>
          <w:u w:val="single"/>
          <w:lang w:val="fr-CA"/>
        </w:rPr>
        <w:t xml:space="preserve"> :</w:t>
      </w:r>
      <w:r w:rsidRPr="00CD71E6">
        <w:rPr>
          <w:b/>
          <w:bCs/>
          <w:u w:val="single"/>
          <w:lang w:val="fr-CA"/>
        </w:rPr>
        <w:t xml:space="preserve"> Bâtir un collège culturellement approprié</w:t>
      </w:r>
    </w:p>
    <w:p w14:paraId="571B7B7A" w14:textId="0E31A539" w:rsidR="004936A2" w:rsidRPr="00CD71E6" w:rsidRDefault="004936A2" w:rsidP="00D65591">
      <w:pPr>
        <w:ind w:left="68"/>
        <w:rPr>
          <w:lang w:val="fr-CA"/>
        </w:rPr>
      </w:pPr>
      <w:r w:rsidRPr="00CD71E6">
        <w:rPr>
          <w:lang w:val="fr-CA"/>
        </w:rPr>
        <w:t xml:space="preserve">Le Conseil des gouverneurs souhaite fonder l’apprentissage des adultes offert au Collège de l’Arctique du Nunavut sur l’inuktut et la culture. Le Conseil accueille favorablement les possibilités de partenariats avec les collectivités, les écoles, les associations inuites régionales et les acteurs de l’industrie. </w:t>
      </w:r>
      <w:r w:rsidR="00B22CA8">
        <w:rPr>
          <w:lang w:val="fr-CA"/>
        </w:rPr>
        <w:br/>
      </w:r>
      <w:r w:rsidRPr="00CD71E6">
        <w:rPr>
          <w:lang w:val="fr-CA"/>
        </w:rPr>
        <w:t>Le Conseil des gouverneurs attache de l’importance à la participation des aînés dans l’apprentissage des apprenants. Il estime que l’établissement de milieux d’apprentissage bilingues est nécessaire et soutient l’élaboration de matériel d’apprentissage bilingue.</w:t>
      </w:r>
    </w:p>
    <w:p w14:paraId="545CE1B8" w14:textId="77777777" w:rsidR="004936A2" w:rsidRPr="00CD71E6" w:rsidRDefault="004936A2" w:rsidP="0094062C">
      <w:pPr>
        <w:pStyle w:val="ListParagraph"/>
        <w:numPr>
          <w:ilvl w:val="0"/>
          <w:numId w:val="19"/>
        </w:numPr>
        <w:spacing w:after="40" w:line="240" w:lineRule="auto"/>
        <w:ind w:left="360"/>
        <w:rPr>
          <w:b/>
          <w:u w:val="single"/>
          <w:lang w:val="fr-CA"/>
        </w:rPr>
      </w:pPr>
      <w:r w:rsidRPr="00CD71E6">
        <w:rPr>
          <w:b/>
          <w:bCs/>
          <w:u w:val="single"/>
          <w:lang w:val="fr-CA"/>
        </w:rPr>
        <w:t>Excellence</w:t>
      </w:r>
      <w:r w:rsidRPr="00B01B52">
        <w:rPr>
          <w:b/>
          <w:bCs/>
          <w:u w:val="single"/>
          <w:lang w:val="fr-CA"/>
        </w:rPr>
        <w:t xml:space="preserve"> :</w:t>
      </w:r>
      <w:r w:rsidRPr="00CD71E6">
        <w:rPr>
          <w:b/>
          <w:bCs/>
          <w:u w:val="single"/>
          <w:lang w:val="fr-CA"/>
        </w:rPr>
        <w:t xml:space="preserve"> Atteindre l’excellence scolaire</w:t>
      </w:r>
    </w:p>
    <w:p w14:paraId="0A4C26FD" w14:textId="219C230C" w:rsidR="004936A2" w:rsidRPr="00CD71E6" w:rsidRDefault="004936A2" w:rsidP="00D65591">
      <w:pPr>
        <w:ind w:left="68"/>
        <w:rPr>
          <w:lang w:val="fr-CA"/>
        </w:rPr>
      </w:pPr>
      <w:r w:rsidRPr="00CD71E6">
        <w:rPr>
          <w:lang w:val="fr-CA"/>
        </w:rPr>
        <w:t xml:space="preserve">Le Conseil des gouverneurs soutient la pratique de normes scolaires appropriées pour tous les programmes. Il reconnaît les normes d’admission qui font état des différentes capacités et réalisation des apprenants adultes, ainsi que les normes de fin de programme qui correspondent aux besoins diversifiés du marché du travail du Nunavut et des partenaires postsecondaires du Collège. </w:t>
      </w:r>
      <w:r w:rsidR="00B22CA8">
        <w:rPr>
          <w:lang w:val="fr-CA"/>
        </w:rPr>
        <w:br/>
      </w:r>
      <w:r w:rsidRPr="00CD71E6">
        <w:rPr>
          <w:lang w:val="fr-CA"/>
        </w:rPr>
        <w:t>La reconnaissance des acquis sera incorporée dans tous les programmes. Tous les programmes doivent fournir du contenu inuit approprié, de l’accès communautaire et des expériences de transition au travail, faire l’objet d’un examen de la qualité périodique et respecter les normes de performance acceptables. Le Collège de l’Arctique du Nunavut juge essentiel de fournir le soutien approprié à ses apprenants. Le Conseil des gouverneurs s’est donné comme priorité de veiller à ce que notre division des services aux étudiants reçoive les ressources nécessaires pour fournir des services aux étudiants qui atteignent ou dépassent les normes nationales.</w:t>
      </w:r>
    </w:p>
    <w:p w14:paraId="268074E7" w14:textId="77777777" w:rsidR="004936A2" w:rsidRPr="00CD71E6" w:rsidRDefault="004936A2" w:rsidP="0094062C">
      <w:pPr>
        <w:pStyle w:val="ListParagraph"/>
        <w:numPr>
          <w:ilvl w:val="0"/>
          <w:numId w:val="19"/>
        </w:numPr>
        <w:spacing w:after="40" w:line="240" w:lineRule="auto"/>
        <w:ind w:left="360"/>
        <w:rPr>
          <w:u w:val="single"/>
          <w:lang w:val="fr-CA"/>
        </w:rPr>
      </w:pPr>
      <w:r w:rsidRPr="00CD71E6">
        <w:rPr>
          <w:b/>
          <w:bCs/>
          <w:u w:val="single"/>
          <w:lang w:val="fr-CA"/>
        </w:rPr>
        <w:lastRenderedPageBreak/>
        <w:t>Force</w:t>
      </w:r>
      <w:r w:rsidRPr="00B01B52">
        <w:rPr>
          <w:b/>
          <w:bCs/>
          <w:u w:val="single"/>
          <w:lang w:val="fr-CA"/>
        </w:rPr>
        <w:t xml:space="preserve"> :</w:t>
      </w:r>
      <w:r w:rsidRPr="00CD71E6">
        <w:rPr>
          <w:b/>
          <w:bCs/>
          <w:u w:val="single"/>
          <w:lang w:val="fr-CA"/>
        </w:rPr>
        <w:t xml:space="preserve"> Renforcer les systèmes et les activités du Collège</w:t>
      </w:r>
    </w:p>
    <w:p w14:paraId="3D8FCA4A" w14:textId="303B39B7" w:rsidR="006D1744" w:rsidRPr="00CD71E6" w:rsidRDefault="004936A2" w:rsidP="00D65591">
      <w:pPr>
        <w:ind w:left="68"/>
        <w:rPr>
          <w:rFonts w:ascii="Arial" w:hAnsi="Arial"/>
          <w:b/>
          <w:color w:val="005798"/>
          <w:spacing w:val="20"/>
          <w:sz w:val="28"/>
          <w:szCs w:val="28"/>
          <w:lang w:val="fr-CA"/>
        </w:rPr>
      </w:pPr>
      <w:r w:rsidRPr="00CD71E6">
        <w:rPr>
          <w:lang w:val="fr-CA"/>
        </w:rPr>
        <w:t>Le Conseil des gouverneurs reconnaît son devoir de supervision de la gestion du Collège de l’Arctique du Nunavut pour servir au mieux les intérêts du Collège et des Nunavummiut, tout en reconnaissant sa responsabilité à l’égard du ministre. Le Collège de l’Arctique du Nunavut travaille avec le Conseil de gestion financière pour respecter son obligation redditionnelle et traiter des questions soulevées par le Bureau du vérificateur général. Le Collège de l’Arctique du Nunavut continue à siéger sur des comités de partenariat avec des ministères du gouvernement du Nunavut afin de coordonner l’apprentissage des adultes et les activités de formation au Nunavut pour assurer une utilisation judicieuse des ressources.</w:t>
      </w:r>
      <w:r w:rsidRPr="00CD71E6">
        <w:rPr>
          <w:lang w:val="fr-CA"/>
        </w:rPr>
        <w:br w:type="page"/>
      </w:r>
    </w:p>
    <w:p w14:paraId="2B376A1D" w14:textId="482E917A" w:rsidR="00850370" w:rsidRPr="00CD71E6" w:rsidRDefault="00850370" w:rsidP="00850370">
      <w:pPr>
        <w:pStyle w:val="Heading2"/>
        <w:rPr>
          <w:lang w:val="fr-CA"/>
        </w:rPr>
      </w:pPr>
      <w:bookmarkStart w:id="21" w:name="_Toc41053681"/>
      <w:r w:rsidRPr="00CD71E6">
        <w:rPr>
          <w:bCs/>
          <w:lang w:val="fr-CA"/>
        </w:rPr>
        <w:lastRenderedPageBreak/>
        <w:t>Secteurs d’activités et emplacements</w:t>
      </w:r>
      <w:bookmarkEnd w:id="21"/>
    </w:p>
    <w:tbl>
      <w:tblPr>
        <w:tblpPr w:leftFromText="180" w:rightFromText="180" w:vertAnchor="text" w:horzAnchor="margin" w:tblpXSpec="right" w:tblpY="110"/>
        <w:tblOverlap w:val="never"/>
        <w:tblW w:w="4041" w:type="dxa"/>
        <w:tblLook w:val="04A0" w:firstRow="1" w:lastRow="0" w:firstColumn="1" w:lastColumn="0" w:noHBand="0" w:noVBand="1"/>
      </w:tblPr>
      <w:tblGrid>
        <w:gridCol w:w="709"/>
        <w:gridCol w:w="1772"/>
        <w:gridCol w:w="1560"/>
      </w:tblGrid>
      <w:tr w:rsidR="00447426" w:rsidRPr="00B01B52" w14:paraId="3700EF2A" w14:textId="77777777" w:rsidTr="00447426">
        <w:trPr>
          <w:trHeight w:val="345"/>
        </w:trPr>
        <w:tc>
          <w:tcPr>
            <w:tcW w:w="709" w:type="dxa"/>
            <w:tcBorders>
              <w:top w:val="nil"/>
              <w:left w:val="nil"/>
              <w:bottom w:val="nil"/>
              <w:right w:val="single" w:sz="18" w:space="0" w:color="auto"/>
            </w:tcBorders>
            <w:shd w:val="clear" w:color="auto" w:fill="auto"/>
            <w:noWrap/>
            <w:vAlign w:val="bottom"/>
            <w:hideMark/>
          </w:tcPr>
          <w:p w14:paraId="06A830E7" w14:textId="77777777" w:rsidR="00447426" w:rsidRPr="00CD71E6" w:rsidRDefault="00447426" w:rsidP="00447426">
            <w:pPr>
              <w:spacing w:after="0" w:line="240" w:lineRule="auto"/>
              <w:rPr>
                <w:rFonts w:eastAsia="Times New Roman"/>
                <w:color w:val="000000"/>
                <w:kern w:val="0"/>
                <w:szCs w:val="22"/>
                <w:lang w:val="fr-CA"/>
                <w14:ligatures w14:val="none"/>
              </w:rPr>
            </w:pPr>
          </w:p>
        </w:tc>
        <w:tc>
          <w:tcPr>
            <w:tcW w:w="3332" w:type="dxa"/>
            <w:gridSpan w:val="2"/>
            <w:tcBorders>
              <w:top w:val="single" w:sz="18" w:space="0" w:color="auto"/>
              <w:left w:val="single" w:sz="18" w:space="0" w:color="auto"/>
              <w:bottom w:val="nil"/>
              <w:right w:val="single" w:sz="18" w:space="0" w:color="auto"/>
            </w:tcBorders>
            <w:shd w:val="clear" w:color="000000" w:fill="000000"/>
            <w:noWrap/>
            <w:vAlign w:val="center"/>
            <w:hideMark/>
          </w:tcPr>
          <w:p w14:paraId="7D68C2AA" w14:textId="7DF944B2" w:rsidR="00447426" w:rsidRPr="00CD71E6" w:rsidRDefault="00447426" w:rsidP="00447426">
            <w:pPr>
              <w:spacing w:after="0" w:line="240" w:lineRule="auto"/>
              <w:jc w:val="center"/>
              <w:rPr>
                <w:rFonts w:eastAsia="Times New Roman"/>
                <w:b/>
                <w:bCs/>
                <w:color w:val="FFFFFF"/>
                <w:kern w:val="0"/>
                <w:sz w:val="26"/>
                <w:szCs w:val="26"/>
                <w:lang w:val="fr-CA"/>
                <w14:ligatures w14:val="none"/>
              </w:rPr>
            </w:pPr>
            <w:r w:rsidRPr="00CD71E6">
              <w:rPr>
                <w:rFonts w:eastAsia="Times New Roman"/>
                <w:b/>
                <w:bCs/>
                <w:color w:val="FFFFFF"/>
                <w:kern w:val="0"/>
                <w:sz w:val="26"/>
                <w:szCs w:val="26"/>
                <w:lang w:val="fr-CA"/>
                <w14:ligatures w14:val="none"/>
              </w:rPr>
              <w:t xml:space="preserve">Postes du Collège </w:t>
            </w:r>
            <w:r w:rsidR="00B22CA8">
              <w:rPr>
                <w:rFonts w:eastAsia="Times New Roman"/>
                <w:b/>
                <w:bCs/>
                <w:color w:val="FFFFFF"/>
                <w:kern w:val="0"/>
                <w:sz w:val="26"/>
                <w:szCs w:val="26"/>
                <w:lang w:val="fr-CA"/>
                <w14:ligatures w14:val="none"/>
              </w:rPr>
              <w:br/>
            </w:r>
            <w:r w:rsidRPr="00CD71E6">
              <w:rPr>
                <w:rFonts w:eastAsia="Times New Roman"/>
                <w:b/>
                <w:bCs/>
                <w:color w:val="FFFFFF"/>
                <w:kern w:val="0"/>
                <w:sz w:val="26"/>
                <w:szCs w:val="26"/>
                <w:lang w:val="fr-CA"/>
                <w14:ligatures w14:val="none"/>
              </w:rPr>
              <w:t>par collectivité</w:t>
            </w:r>
          </w:p>
        </w:tc>
      </w:tr>
      <w:tr w:rsidR="00447426" w:rsidRPr="00CD71E6" w14:paraId="4F19ED32" w14:textId="77777777" w:rsidTr="00447426">
        <w:trPr>
          <w:trHeight w:val="300"/>
        </w:trPr>
        <w:tc>
          <w:tcPr>
            <w:tcW w:w="709" w:type="dxa"/>
            <w:tcBorders>
              <w:top w:val="nil"/>
              <w:left w:val="nil"/>
              <w:bottom w:val="single" w:sz="4" w:space="0" w:color="FFFFFF" w:themeColor="background1"/>
              <w:right w:val="single" w:sz="18" w:space="0" w:color="auto"/>
            </w:tcBorders>
            <w:shd w:val="clear" w:color="auto" w:fill="auto"/>
            <w:noWrap/>
            <w:vAlign w:val="bottom"/>
            <w:hideMark/>
          </w:tcPr>
          <w:p w14:paraId="39E3FE64" w14:textId="77777777" w:rsidR="00447426" w:rsidRPr="00CD71E6" w:rsidRDefault="00447426" w:rsidP="00447426">
            <w:pPr>
              <w:spacing w:after="0" w:line="240" w:lineRule="auto"/>
              <w:rPr>
                <w:rFonts w:eastAsia="Times New Roman"/>
                <w:color w:val="000000"/>
                <w:kern w:val="0"/>
                <w:szCs w:val="22"/>
                <w:lang w:val="fr-CA"/>
                <w14:ligatures w14:val="none"/>
              </w:rPr>
            </w:pPr>
          </w:p>
        </w:tc>
        <w:tc>
          <w:tcPr>
            <w:tcW w:w="1772" w:type="dxa"/>
            <w:tcBorders>
              <w:top w:val="nil"/>
              <w:left w:val="single" w:sz="18" w:space="0" w:color="auto"/>
              <w:bottom w:val="nil"/>
              <w:right w:val="nil"/>
            </w:tcBorders>
            <w:shd w:val="clear" w:color="000000" w:fill="000000"/>
            <w:vAlign w:val="center"/>
            <w:hideMark/>
          </w:tcPr>
          <w:p w14:paraId="7AA31DE3" w14:textId="77777777" w:rsidR="00447426" w:rsidRPr="00CD71E6" w:rsidRDefault="00447426" w:rsidP="00447426">
            <w:pPr>
              <w:spacing w:after="0" w:line="240" w:lineRule="auto"/>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Collectivité</w:t>
            </w:r>
          </w:p>
        </w:tc>
        <w:tc>
          <w:tcPr>
            <w:tcW w:w="1560" w:type="dxa"/>
            <w:tcBorders>
              <w:top w:val="nil"/>
              <w:left w:val="nil"/>
              <w:bottom w:val="nil"/>
              <w:right w:val="single" w:sz="18" w:space="0" w:color="auto"/>
            </w:tcBorders>
            <w:shd w:val="clear" w:color="000000" w:fill="000000"/>
            <w:vAlign w:val="center"/>
            <w:hideMark/>
          </w:tcPr>
          <w:p w14:paraId="5EBE8C51" w14:textId="77777777" w:rsidR="00447426" w:rsidRPr="00CD71E6" w:rsidRDefault="00447426" w:rsidP="00447426">
            <w:pPr>
              <w:spacing w:after="0" w:line="240" w:lineRule="auto"/>
              <w:jc w:val="right"/>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Postes (ETP)</w:t>
            </w:r>
          </w:p>
        </w:tc>
      </w:tr>
      <w:tr w:rsidR="00447426" w:rsidRPr="00CD71E6" w14:paraId="2878D35E" w14:textId="77777777" w:rsidTr="00F75C39">
        <w:trPr>
          <w:trHeight w:val="300"/>
        </w:trPr>
        <w:tc>
          <w:tcPr>
            <w:tcW w:w="709" w:type="dxa"/>
            <w:vMerge w:val="restart"/>
            <w:tcBorders>
              <w:top w:val="single" w:sz="4" w:space="0" w:color="FFFFFF" w:themeColor="background1"/>
              <w:left w:val="single" w:sz="4" w:space="0" w:color="FFFFFF" w:themeColor="background1"/>
              <w:bottom w:val="single" w:sz="8" w:space="0" w:color="000000"/>
              <w:right w:val="single" w:sz="18" w:space="0" w:color="auto"/>
            </w:tcBorders>
            <w:shd w:val="clear" w:color="auto" w:fill="auto"/>
            <w:noWrap/>
            <w:textDirection w:val="btLr"/>
            <w:vAlign w:val="center"/>
          </w:tcPr>
          <w:p w14:paraId="30AD74FA" w14:textId="3B97698B" w:rsidR="00447426" w:rsidRPr="00CD71E6" w:rsidRDefault="00447426" w:rsidP="00447426">
            <w:pPr>
              <w:spacing w:after="0" w:line="240" w:lineRule="auto"/>
              <w:jc w:val="center"/>
              <w:rPr>
                <w:rFonts w:eastAsia="Times New Roman"/>
                <w:b/>
                <w:bCs/>
                <w:color w:val="000000"/>
                <w:kern w:val="0"/>
                <w:sz w:val="36"/>
                <w:szCs w:val="36"/>
                <w:lang w:val="fr-CA"/>
                <w14:ligatures w14:val="none"/>
              </w:rPr>
            </w:pPr>
          </w:p>
        </w:tc>
        <w:tc>
          <w:tcPr>
            <w:tcW w:w="1772" w:type="dxa"/>
            <w:tcBorders>
              <w:top w:val="single" w:sz="8" w:space="0" w:color="auto"/>
              <w:left w:val="single" w:sz="18" w:space="0" w:color="auto"/>
              <w:bottom w:val="nil"/>
              <w:right w:val="nil"/>
            </w:tcBorders>
            <w:shd w:val="clear" w:color="auto" w:fill="auto"/>
            <w:noWrap/>
            <w:vAlign w:val="bottom"/>
            <w:hideMark/>
          </w:tcPr>
          <w:p w14:paraId="096D5E2F"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Arctic Bay</w:t>
            </w:r>
          </w:p>
        </w:tc>
        <w:tc>
          <w:tcPr>
            <w:tcW w:w="1560" w:type="dxa"/>
            <w:tcBorders>
              <w:top w:val="single" w:sz="8" w:space="0" w:color="auto"/>
              <w:left w:val="nil"/>
              <w:bottom w:val="nil"/>
              <w:right w:val="single" w:sz="18" w:space="0" w:color="auto"/>
            </w:tcBorders>
            <w:shd w:val="clear" w:color="auto" w:fill="auto"/>
            <w:noWrap/>
            <w:vAlign w:val="bottom"/>
            <w:hideMark/>
          </w:tcPr>
          <w:p w14:paraId="43C2EFDD"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w:t>
            </w:r>
          </w:p>
        </w:tc>
      </w:tr>
      <w:tr w:rsidR="00447426" w:rsidRPr="00CD71E6" w14:paraId="11C88E6A"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3E518E12"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59C428F8"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Cape Dorset</w:t>
            </w:r>
          </w:p>
        </w:tc>
        <w:tc>
          <w:tcPr>
            <w:tcW w:w="1560" w:type="dxa"/>
            <w:tcBorders>
              <w:top w:val="nil"/>
              <w:left w:val="nil"/>
              <w:bottom w:val="nil"/>
              <w:right w:val="single" w:sz="18" w:space="0" w:color="auto"/>
            </w:tcBorders>
            <w:shd w:val="clear" w:color="auto" w:fill="auto"/>
            <w:noWrap/>
            <w:vAlign w:val="bottom"/>
            <w:hideMark/>
          </w:tcPr>
          <w:p w14:paraId="5564A987"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w:t>
            </w:r>
          </w:p>
        </w:tc>
      </w:tr>
      <w:tr w:rsidR="00447426" w:rsidRPr="00CD71E6" w14:paraId="43704150"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560C4156"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2F336F5D"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Clyde River</w:t>
            </w:r>
          </w:p>
        </w:tc>
        <w:tc>
          <w:tcPr>
            <w:tcW w:w="1560" w:type="dxa"/>
            <w:tcBorders>
              <w:top w:val="nil"/>
              <w:left w:val="nil"/>
              <w:bottom w:val="nil"/>
              <w:right w:val="single" w:sz="18" w:space="0" w:color="auto"/>
            </w:tcBorders>
            <w:shd w:val="clear" w:color="auto" w:fill="auto"/>
            <w:noWrap/>
            <w:vAlign w:val="bottom"/>
            <w:hideMark/>
          </w:tcPr>
          <w:p w14:paraId="63440492"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16,0</w:t>
            </w:r>
          </w:p>
        </w:tc>
      </w:tr>
      <w:tr w:rsidR="00447426" w:rsidRPr="00CD71E6" w14:paraId="14F6102A"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44865F99"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720E39A2"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Grise Fiord</w:t>
            </w:r>
          </w:p>
        </w:tc>
        <w:tc>
          <w:tcPr>
            <w:tcW w:w="1560" w:type="dxa"/>
            <w:tcBorders>
              <w:top w:val="nil"/>
              <w:left w:val="nil"/>
              <w:bottom w:val="nil"/>
              <w:right w:val="single" w:sz="18" w:space="0" w:color="auto"/>
            </w:tcBorders>
            <w:shd w:val="clear" w:color="auto" w:fill="auto"/>
            <w:noWrap/>
            <w:vAlign w:val="bottom"/>
            <w:hideMark/>
          </w:tcPr>
          <w:p w14:paraId="26C5FFE1"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w:t>
            </w:r>
          </w:p>
        </w:tc>
      </w:tr>
      <w:tr w:rsidR="00447426" w:rsidRPr="00CD71E6" w14:paraId="73A3EA31"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3ED6E24A"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54B41237"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Hall Beach</w:t>
            </w:r>
          </w:p>
        </w:tc>
        <w:tc>
          <w:tcPr>
            <w:tcW w:w="1560" w:type="dxa"/>
            <w:tcBorders>
              <w:top w:val="nil"/>
              <w:left w:val="nil"/>
              <w:bottom w:val="nil"/>
              <w:right w:val="single" w:sz="18" w:space="0" w:color="auto"/>
            </w:tcBorders>
            <w:shd w:val="clear" w:color="auto" w:fill="auto"/>
            <w:noWrap/>
            <w:vAlign w:val="bottom"/>
            <w:hideMark/>
          </w:tcPr>
          <w:p w14:paraId="1B2B9FF3"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w:t>
            </w:r>
          </w:p>
        </w:tc>
      </w:tr>
      <w:tr w:rsidR="00447426" w:rsidRPr="00CD71E6" w14:paraId="4C5953A1"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725C4D7D"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5A159FA2"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Igloolik</w:t>
            </w:r>
          </w:p>
        </w:tc>
        <w:tc>
          <w:tcPr>
            <w:tcW w:w="1560" w:type="dxa"/>
            <w:tcBorders>
              <w:top w:val="nil"/>
              <w:left w:val="nil"/>
              <w:bottom w:val="nil"/>
              <w:right w:val="single" w:sz="18" w:space="0" w:color="auto"/>
            </w:tcBorders>
            <w:shd w:val="clear" w:color="auto" w:fill="auto"/>
            <w:noWrap/>
            <w:vAlign w:val="bottom"/>
            <w:hideMark/>
          </w:tcPr>
          <w:p w14:paraId="0A99E0FF"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4,0</w:t>
            </w:r>
          </w:p>
        </w:tc>
      </w:tr>
      <w:tr w:rsidR="00447426" w:rsidRPr="00CD71E6" w14:paraId="35F6533D"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19EA1BC9"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4538AEC2"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Iqaluit</w:t>
            </w:r>
          </w:p>
        </w:tc>
        <w:tc>
          <w:tcPr>
            <w:tcW w:w="1560" w:type="dxa"/>
            <w:tcBorders>
              <w:top w:val="nil"/>
              <w:left w:val="nil"/>
              <w:bottom w:val="nil"/>
              <w:right w:val="single" w:sz="18" w:space="0" w:color="auto"/>
            </w:tcBorders>
            <w:shd w:val="clear" w:color="auto" w:fill="auto"/>
            <w:noWrap/>
            <w:vAlign w:val="bottom"/>
            <w:hideMark/>
          </w:tcPr>
          <w:p w14:paraId="2A951FEB" w14:textId="342698CD"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100,6</w:t>
            </w:r>
          </w:p>
        </w:tc>
      </w:tr>
      <w:tr w:rsidR="00447426" w:rsidRPr="00CD71E6" w14:paraId="25E5D8FD"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45E40EF8"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591F28B1"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Kimmirut</w:t>
            </w:r>
          </w:p>
        </w:tc>
        <w:tc>
          <w:tcPr>
            <w:tcW w:w="1560" w:type="dxa"/>
            <w:tcBorders>
              <w:top w:val="nil"/>
              <w:left w:val="nil"/>
              <w:bottom w:val="nil"/>
              <w:right w:val="single" w:sz="18" w:space="0" w:color="auto"/>
            </w:tcBorders>
            <w:shd w:val="clear" w:color="auto" w:fill="auto"/>
            <w:noWrap/>
            <w:vAlign w:val="bottom"/>
            <w:hideMark/>
          </w:tcPr>
          <w:p w14:paraId="1B68FE05" w14:textId="47C0B34F" w:rsidR="00447426" w:rsidRPr="00CD71E6" w:rsidRDefault="00443882"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w:t>
            </w:r>
          </w:p>
        </w:tc>
      </w:tr>
      <w:tr w:rsidR="00447426" w:rsidRPr="00CD71E6" w14:paraId="49119F03"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7DC22D36"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1D4D5F83"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Pangnirtung</w:t>
            </w:r>
          </w:p>
        </w:tc>
        <w:tc>
          <w:tcPr>
            <w:tcW w:w="1560" w:type="dxa"/>
            <w:tcBorders>
              <w:top w:val="nil"/>
              <w:left w:val="nil"/>
              <w:bottom w:val="nil"/>
              <w:right w:val="single" w:sz="18" w:space="0" w:color="auto"/>
            </w:tcBorders>
            <w:shd w:val="clear" w:color="auto" w:fill="auto"/>
            <w:noWrap/>
            <w:vAlign w:val="bottom"/>
            <w:hideMark/>
          </w:tcPr>
          <w:p w14:paraId="3C55F7D6"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w:t>
            </w:r>
          </w:p>
        </w:tc>
      </w:tr>
      <w:tr w:rsidR="00447426" w:rsidRPr="00CD71E6" w14:paraId="596E4926"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440E20DD"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6D0F91E7"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Pond Inlet</w:t>
            </w:r>
          </w:p>
        </w:tc>
        <w:tc>
          <w:tcPr>
            <w:tcW w:w="1560" w:type="dxa"/>
            <w:tcBorders>
              <w:top w:val="nil"/>
              <w:left w:val="nil"/>
              <w:bottom w:val="nil"/>
              <w:right w:val="single" w:sz="18" w:space="0" w:color="auto"/>
            </w:tcBorders>
            <w:shd w:val="clear" w:color="auto" w:fill="auto"/>
            <w:noWrap/>
            <w:vAlign w:val="bottom"/>
            <w:hideMark/>
          </w:tcPr>
          <w:p w14:paraId="095D4009" w14:textId="46ABB870" w:rsidR="00447426" w:rsidRPr="00CD71E6" w:rsidRDefault="00210730"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w:t>
            </w:r>
          </w:p>
        </w:tc>
      </w:tr>
      <w:tr w:rsidR="00447426" w:rsidRPr="00CD71E6" w14:paraId="257C4DCB"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76F91343"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4C64F716"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Qikiqtarjuaq</w:t>
            </w:r>
          </w:p>
        </w:tc>
        <w:tc>
          <w:tcPr>
            <w:tcW w:w="1560" w:type="dxa"/>
            <w:tcBorders>
              <w:top w:val="nil"/>
              <w:left w:val="nil"/>
              <w:bottom w:val="nil"/>
              <w:right w:val="single" w:sz="18" w:space="0" w:color="auto"/>
            </w:tcBorders>
            <w:shd w:val="clear" w:color="auto" w:fill="auto"/>
            <w:noWrap/>
            <w:vAlign w:val="bottom"/>
            <w:hideMark/>
          </w:tcPr>
          <w:p w14:paraId="5867E9AC"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w:t>
            </w:r>
          </w:p>
        </w:tc>
      </w:tr>
      <w:tr w:rsidR="00447426" w:rsidRPr="00CD71E6" w14:paraId="438C5D28" w14:textId="77777777" w:rsidTr="00447426">
        <w:trPr>
          <w:trHeight w:val="300"/>
        </w:trPr>
        <w:tc>
          <w:tcPr>
            <w:tcW w:w="709" w:type="dxa"/>
            <w:vMerge/>
            <w:tcBorders>
              <w:top w:val="single" w:sz="8" w:space="0" w:color="auto"/>
              <w:left w:val="single" w:sz="4" w:space="0" w:color="FFFFFF" w:themeColor="background1"/>
              <w:bottom w:val="single" w:sz="8" w:space="0" w:color="000000"/>
              <w:right w:val="single" w:sz="18" w:space="0" w:color="auto"/>
            </w:tcBorders>
            <w:vAlign w:val="center"/>
            <w:hideMark/>
          </w:tcPr>
          <w:p w14:paraId="2CC12436"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0896FFB1"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Resolute Bay</w:t>
            </w:r>
          </w:p>
        </w:tc>
        <w:tc>
          <w:tcPr>
            <w:tcW w:w="1560" w:type="dxa"/>
            <w:tcBorders>
              <w:top w:val="nil"/>
              <w:left w:val="nil"/>
              <w:bottom w:val="nil"/>
              <w:right w:val="single" w:sz="18" w:space="0" w:color="auto"/>
            </w:tcBorders>
            <w:shd w:val="clear" w:color="auto" w:fill="auto"/>
            <w:noWrap/>
            <w:vAlign w:val="bottom"/>
            <w:hideMark/>
          </w:tcPr>
          <w:p w14:paraId="23DBD523"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w:t>
            </w:r>
          </w:p>
        </w:tc>
      </w:tr>
      <w:tr w:rsidR="00447426" w:rsidRPr="00CD71E6" w14:paraId="438CD4C7" w14:textId="77777777" w:rsidTr="00447426">
        <w:trPr>
          <w:trHeight w:val="315"/>
        </w:trPr>
        <w:tc>
          <w:tcPr>
            <w:tcW w:w="709" w:type="dxa"/>
            <w:vMerge/>
            <w:tcBorders>
              <w:top w:val="single" w:sz="8" w:space="0" w:color="auto"/>
              <w:left w:val="single" w:sz="4" w:space="0" w:color="FFFFFF" w:themeColor="background1"/>
              <w:bottom w:val="single" w:sz="4" w:space="0" w:color="FFFFFF" w:themeColor="background1"/>
              <w:right w:val="single" w:sz="18" w:space="0" w:color="auto"/>
            </w:tcBorders>
            <w:vAlign w:val="center"/>
            <w:hideMark/>
          </w:tcPr>
          <w:p w14:paraId="7ADE9F45"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49910ECE"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Sanikiluaq</w:t>
            </w:r>
          </w:p>
        </w:tc>
        <w:tc>
          <w:tcPr>
            <w:tcW w:w="1560" w:type="dxa"/>
            <w:tcBorders>
              <w:top w:val="nil"/>
              <w:left w:val="nil"/>
              <w:bottom w:val="nil"/>
              <w:right w:val="single" w:sz="18" w:space="0" w:color="auto"/>
            </w:tcBorders>
            <w:shd w:val="clear" w:color="auto" w:fill="auto"/>
            <w:noWrap/>
            <w:vAlign w:val="bottom"/>
            <w:hideMark/>
          </w:tcPr>
          <w:p w14:paraId="5CF1CE86"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w:t>
            </w:r>
          </w:p>
        </w:tc>
      </w:tr>
      <w:tr w:rsidR="00447426" w:rsidRPr="00CD71E6" w14:paraId="52C8D16D" w14:textId="77777777" w:rsidTr="00F75C39">
        <w:trPr>
          <w:trHeight w:val="300"/>
        </w:trPr>
        <w:tc>
          <w:tcPr>
            <w:tcW w:w="709" w:type="dxa"/>
            <w:vMerge w:val="restart"/>
            <w:tcBorders>
              <w:top w:val="single" w:sz="4" w:space="0" w:color="FFFFFF" w:themeColor="background1"/>
              <w:left w:val="single" w:sz="4" w:space="0" w:color="FFFFFF" w:themeColor="background1"/>
              <w:bottom w:val="single" w:sz="8" w:space="0" w:color="000000"/>
              <w:right w:val="single" w:sz="18" w:space="0" w:color="auto"/>
            </w:tcBorders>
            <w:shd w:val="clear" w:color="auto" w:fill="auto"/>
            <w:noWrap/>
            <w:textDirection w:val="btLr"/>
            <w:vAlign w:val="center"/>
          </w:tcPr>
          <w:p w14:paraId="0CCBB7EE" w14:textId="3AB8D390" w:rsidR="00447426" w:rsidRPr="00CD71E6" w:rsidRDefault="00447426" w:rsidP="00447426">
            <w:pPr>
              <w:spacing w:after="0" w:line="240" w:lineRule="auto"/>
              <w:jc w:val="center"/>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7E5BCC92"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Arviat</w:t>
            </w:r>
          </w:p>
        </w:tc>
        <w:tc>
          <w:tcPr>
            <w:tcW w:w="1560" w:type="dxa"/>
            <w:tcBorders>
              <w:top w:val="nil"/>
              <w:left w:val="nil"/>
              <w:bottom w:val="nil"/>
              <w:right w:val="single" w:sz="18" w:space="0" w:color="auto"/>
            </w:tcBorders>
            <w:shd w:val="clear" w:color="auto" w:fill="auto"/>
            <w:noWrap/>
            <w:vAlign w:val="bottom"/>
            <w:hideMark/>
          </w:tcPr>
          <w:p w14:paraId="22C3F633" w14:textId="44CF7941"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16,0</w:t>
            </w:r>
          </w:p>
        </w:tc>
      </w:tr>
      <w:tr w:rsidR="00447426" w:rsidRPr="00CD71E6" w14:paraId="4A021583"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7D1726B3"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7C3494A3"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Baker Lake</w:t>
            </w:r>
          </w:p>
        </w:tc>
        <w:tc>
          <w:tcPr>
            <w:tcW w:w="1560" w:type="dxa"/>
            <w:tcBorders>
              <w:top w:val="nil"/>
              <w:left w:val="nil"/>
              <w:bottom w:val="nil"/>
              <w:right w:val="single" w:sz="18" w:space="0" w:color="auto"/>
            </w:tcBorders>
            <w:shd w:val="clear" w:color="auto" w:fill="auto"/>
            <w:noWrap/>
            <w:vAlign w:val="bottom"/>
            <w:hideMark/>
          </w:tcPr>
          <w:p w14:paraId="08373BE9" w14:textId="666B80E9" w:rsidR="00447426" w:rsidRPr="00CD71E6" w:rsidRDefault="00210730"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3,0</w:t>
            </w:r>
          </w:p>
        </w:tc>
      </w:tr>
      <w:tr w:rsidR="00447426" w:rsidRPr="00CD71E6" w14:paraId="6106B755"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4D002173"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191010F8"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Chesterfield Inlet</w:t>
            </w:r>
          </w:p>
        </w:tc>
        <w:tc>
          <w:tcPr>
            <w:tcW w:w="1560" w:type="dxa"/>
            <w:tcBorders>
              <w:top w:val="nil"/>
              <w:left w:val="nil"/>
              <w:bottom w:val="nil"/>
              <w:right w:val="single" w:sz="18" w:space="0" w:color="auto"/>
            </w:tcBorders>
            <w:shd w:val="clear" w:color="auto" w:fill="auto"/>
            <w:noWrap/>
            <w:vAlign w:val="bottom"/>
            <w:hideMark/>
          </w:tcPr>
          <w:p w14:paraId="1867CBEB"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w:t>
            </w:r>
          </w:p>
        </w:tc>
      </w:tr>
      <w:tr w:rsidR="00447426" w:rsidRPr="00CD71E6" w14:paraId="2DD2B647"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59B42439"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6EDE9192"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Coral Harbour</w:t>
            </w:r>
          </w:p>
        </w:tc>
        <w:tc>
          <w:tcPr>
            <w:tcW w:w="1560" w:type="dxa"/>
            <w:tcBorders>
              <w:top w:val="nil"/>
              <w:left w:val="nil"/>
              <w:bottom w:val="nil"/>
              <w:right w:val="single" w:sz="18" w:space="0" w:color="auto"/>
            </w:tcBorders>
            <w:shd w:val="clear" w:color="auto" w:fill="auto"/>
            <w:noWrap/>
            <w:vAlign w:val="bottom"/>
            <w:hideMark/>
          </w:tcPr>
          <w:p w14:paraId="6B837956"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w:t>
            </w:r>
          </w:p>
        </w:tc>
      </w:tr>
      <w:tr w:rsidR="00447426" w:rsidRPr="00CD71E6" w14:paraId="0A9991B6"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07A79A23"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43D0EA1C"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Naujaat</w:t>
            </w:r>
          </w:p>
        </w:tc>
        <w:tc>
          <w:tcPr>
            <w:tcW w:w="1560" w:type="dxa"/>
            <w:tcBorders>
              <w:top w:val="nil"/>
              <w:left w:val="nil"/>
              <w:bottom w:val="nil"/>
              <w:right w:val="single" w:sz="18" w:space="0" w:color="auto"/>
            </w:tcBorders>
            <w:shd w:val="clear" w:color="auto" w:fill="auto"/>
            <w:noWrap/>
            <w:vAlign w:val="bottom"/>
            <w:hideMark/>
          </w:tcPr>
          <w:p w14:paraId="40B21342"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w:t>
            </w:r>
          </w:p>
        </w:tc>
      </w:tr>
      <w:tr w:rsidR="00447426" w:rsidRPr="00CD71E6" w14:paraId="197D6D3C"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4077B893"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4BF0C7DA"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Rankin Inlet</w:t>
            </w:r>
          </w:p>
        </w:tc>
        <w:tc>
          <w:tcPr>
            <w:tcW w:w="1560" w:type="dxa"/>
            <w:tcBorders>
              <w:top w:val="nil"/>
              <w:left w:val="nil"/>
              <w:bottom w:val="nil"/>
              <w:right w:val="single" w:sz="18" w:space="0" w:color="auto"/>
            </w:tcBorders>
            <w:shd w:val="clear" w:color="auto" w:fill="auto"/>
            <w:noWrap/>
            <w:vAlign w:val="bottom"/>
            <w:hideMark/>
          </w:tcPr>
          <w:p w14:paraId="6F2FD7F9" w14:textId="453D63BB"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45,5</w:t>
            </w:r>
          </w:p>
        </w:tc>
      </w:tr>
      <w:tr w:rsidR="00447426" w:rsidRPr="00CD71E6" w14:paraId="12DBDD6C" w14:textId="77777777" w:rsidTr="00F75C39">
        <w:trPr>
          <w:trHeight w:val="315"/>
        </w:trPr>
        <w:tc>
          <w:tcPr>
            <w:tcW w:w="709" w:type="dxa"/>
            <w:vMerge/>
            <w:tcBorders>
              <w:top w:val="nil"/>
              <w:left w:val="single" w:sz="4" w:space="0" w:color="FFFFFF" w:themeColor="background1"/>
              <w:bottom w:val="single" w:sz="4" w:space="0" w:color="FFFFFF" w:themeColor="background1"/>
              <w:right w:val="single" w:sz="18" w:space="0" w:color="auto"/>
            </w:tcBorders>
            <w:vAlign w:val="center"/>
          </w:tcPr>
          <w:p w14:paraId="7BD46159"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1DA78946"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Whale Cove</w:t>
            </w:r>
          </w:p>
        </w:tc>
        <w:tc>
          <w:tcPr>
            <w:tcW w:w="1560" w:type="dxa"/>
            <w:tcBorders>
              <w:top w:val="nil"/>
              <w:left w:val="nil"/>
              <w:bottom w:val="nil"/>
              <w:right w:val="single" w:sz="18" w:space="0" w:color="auto"/>
            </w:tcBorders>
            <w:shd w:val="clear" w:color="auto" w:fill="auto"/>
            <w:noWrap/>
            <w:vAlign w:val="bottom"/>
            <w:hideMark/>
          </w:tcPr>
          <w:p w14:paraId="3F49F229"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w:t>
            </w:r>
          </w:p>
        </w:tc>
      </w:tr>
      <w:tr w:rsidR="00447426" w:rsidRPr="00CD71E6" w14:paraId="2D21EB77" w14:textId="77777777" w:rsidTr="00F75C39">
        <w:trPr>
          <w:trHeight w:val="300"/>
        </w:trPr>
        <w:tc>
          <w:tcPr>
            <w:tcW w:w="709" w:type="dxa"/>
            <w:vMerge w:val="restart"/>
            <w:tcBorders>
              <w:top w:val="single" w:sz="4" w:space="0" w:color="FFFFFF" w:themeColor="background1"/>
              <w:left w:val="single" w:sz="4" w:space="0" w:color="FFFFFF" w:themeColor="background1"/>
              <w:bottom w:val="single" w:sz="8" w:space="0" w:color="000000"/>
              <w:right w:val="single" w:sz="18" w:space="0" w:color="auto"/>
            </w:tcBorders>
            <w:shd w:val="clear" w:color="auto" w:fill="auto"/>
            <w:noWrap/>
            <w:textDirection w:val="btLr"/>
            <w:vAlign w:val="center"/>
          </w:tcPr>
          <w:p w14:paraId="17CA3980" w14:textId="22AB7CE4" w:rsidR="00447426" w:rsidRPr="00CD71E6" w:rsidRDefault="00447426" w:rsidP="00447426">
            <w:pPr>
              <w:spacing w:after="0" w:line="240" w:lineRule="auto"/>
              <w:jc w:val="center"/>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440C9EFE"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Cambridge Bay</w:t>
            </w:r>
          </w:p>
        </w:tc>
        <w:tc>
          <w:tcPr>
            <w:tcW w:w="1560" w:type="dxa"/>
            <w:tcBorders>
              <w:top w:val="nil"/>
              <w:left w:val="nil"/>
              <w:bottom w:val="nil"/>
              <w:right w:val="single" w:sz="18" w:space="0" w:color="auto"/>
            </w:tcBorders>
            <w:shd w:val="clear" w:color="auto" w:fill="auto"/>
            <w:noWrap/>
            <w:vAlign w:val="bottom"/>
            <w:hideMark/>
          </w:tcPr>
          <w:p w14:paraId="333C58A8" w14:textId="5F27C4CA" w:rsidR="00447426" w:rsidRPr="00CD71E6" w:rsidRDefault="00A44DAB"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20,0</w:t>
            </w:r>
          </w:p>
        </w:tc>
      </w:tr>
      <w:tr w:rsidR="00447426" w:rsidRPr="00CD71E6" w14:paraId="25473730"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0953042F"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50D42B48"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Gjoa Haven</w:t>
            </w:r>
          </w:p>
        </w:tc>
        <w:tc>
          <w:tcPr>
            <w:tcW w:w="1560" w:type="dxa"/>
            <w:tcBorders>
              <w:top w:val="nil"/>
              <w:left w:val="nil"/>
              <w:bottom w:val="nil"/>
              <w:right w:val="single" w:sz="18" w:space="0" w:color="auto"/>
            </w:tcBorders>
            <w:shd w:val="clear" w:color="auto" w:fill="auto"/>
            <w:noWrap/>
            <w:vAlign w:val="bottom"/>
            <w:hideMark/>
          </w:tcPr>
          <w:p w14:paraId="768D4970" w14:textId="13B55AA5" w:rsidR="00447426" w:rsidRPr="00CD71E6" w:rsidRDefault="00A44DAB"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w:t>
            </w:r>
          </w:p>
        </w:tc>
      </w:tr>
      <w:tr w:rsidR="00447426" w:rsidRPr="00CD71E6" w14:paraId="7602B908"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381CFCB0"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4B16B405"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Kugaaruk</w:t>
            </w:r>
          </w:p>
        </w:tc>
        <w:tc>
          <w:tcPr>
            <w:tcW w:w="1560" w:type="dxa"/>
            <w:tcBorders>
              <w:top w:val="nil"/>
              <w:left w:val="nil"/>
              <w:bottom w:val="nil"/>
              <w:right w:val="single" w:sz="18" w:space="0" w:color="auto"/>
            </w:tcBorders>
            <w:shd w:val="clear" w:color="auto" w:fill="auto"/>
            <w:noWrap/>
            <w:vAlign w:val="bottom"/>
            <w:hideMark/>
          </w:tcPr>
          <w:p w14:paraId="4104F39E"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w:t>
            </w:r>
          </w:p>
        </w:tc>
      </w:tr>
      <w:tr w:rsidR="00447426" w:rsidRPr="00CD71E6" w14:paraId="52318DF6" w14:textId="77777777" w:rsidTr="00F75C39">
        <w:trPr>
          <w:trHeight w:val="300"/>
        </w:trPr>
        <w:tc>
          <w:tcPr>
            <w:tcW w:w="709" w:type="dxa"/>
            <w:vMerge/>
            <w:tcBorders>
              <w:top w:val="nil"/>
              <w:left w:val="single" w:sz="4" w:space="0" w:color="FFFFFF" w:themeColor="background1"/>
              <w:bottom w:val="single" w:sz="8" w:space="0" w:color="000000"/>
              <w:right w:val="single" w:sz="18" w:space="0" w:color="auto"/>
            </w:tcBorders>
            <w:vAlign w:val="center"/>
          </w:tcPr>
          <w:p w14:paraId="6181506E"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nil"/>
              <w:right w:val="nil"/>
            </w:tcBorders>
            <w:shd w:val="clear" w:color="auto" w:fill="auto"/>
            <w:noWrap/>
            <w:vAlign w:val="bottom"/>
            <w:hideMark/>
          </w:tcPr>
          <w:p w14:paraId="38F774C9"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Kugluktuk</w:t>
            </w:r>
          </w:p>
        </w:tc>
        <w:tc>
          <w:tcPr>
            <w:tcW w:w="1560" w:type="dxa"/>
            <w:tcBorders>
              <w:top w:val="nil"/>
              <w:left w:val="nil"/>
              <w:bottom w:val="nil"/>
              <w:right w:val="single" w:sz="18" w:space="0" w:color="auto"/>
            </w:tcBorders>
            <w:shd w:val="clear" w:color="auto" w:fill="auto"/>
            <w:noWrap/>
            <w:vAlign w:val="bottom"/>
            <w:hideMark/>
          </w:tcPr>
          <w:p w14:paraId="08482148"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w:t>
            </w:r>
          </w:p>
        </w:tc>
      </w:tr>
      <w:tr w:rsidR="00447426" w:rsidRPr="00CD71E6" w14:paraId="2669A829" w14:textId="77777777" w:rsidTr="00F75C39">
        <w:trPr>
          <w:trHeight w:val="315"/>
        </w:trPr>
        <w:tc>
          <w:tcPr>
            <w:tcW w:w="709" w:type="dxa"/>
            <w:vMerge/>
            <w:tcBorders>
              <w:top w:val="nil"/>
              <w:left w:val="single" w:sz="4" w:space="0" w:color="FFFFFF" w:themeColor="background1"/>
              <w:bottom w:val="single" w:sz="4" w:space="0" w:color="FFFFFF" w:themeColor="background1"/>
              <w:right w:val="single" w:sz="18" w:space="0" w:color="auto"/>
            </w:tcBorders>
            <w:vAlign w:val="center"/>
          </w:tcPr>
          <w:p w14:paraId="52200928" w14:textId="77777777" w:rsidR="00447426" w:rsidRPr="00CD71E6" w:rsidRDefault="00447426" w:rsidP="00447426">
            <w:pPr>
              <w:spacing w:after="0" w:line="240" w:lineRule="auto"/>
              <w:rPr>
                <w:rFonts w:eastAsia="Times New Roman"/>
                <w:b/>
                <w:bCs/>
                <w:color w:val="000000"/>
                <w:kern w:val="0"/>
                <w:sz w:val="36"/>
                <w:szCs w:val="36"/>
                <w:lang w:val="fr-CA"/>
                <w14:ligatures w14:val="none"/>
              </w:rPr>
            </w:pPr>
          </w:p>
        </w:tc>
        <w:tc>
          <w:tcPr>
            <w:tcW w:w="1772" w:type="dxa"/>
            <w:tcBorders>
              <w:top w:val="nil"/>
              <w:left w:val="single" w:sz="18" w:space="0" w:color="auto"/>
              <w:bottom w:val="single" w:sz="18" w:space="0" w:color="auto"/>
              <w:right w:val="nil"/>
            </w:tcBorders>
            <w:shd w:val="clear" w:color="auto" w:fill="auto"/>
            <w:noWrap/>
            <w:vAlign w:val="bottom"/>
            <w:hideMark/>
          </w:tcPr>
          <w:p w14:paraId="320C27DD" w14:textId="77777777" w:rsidR="00447426" w:rsidRPr="00CD71E6" w:rsidRDefault="00447426" w:rsidP="00447426">
            <w:pPr>
              <w:spacing w:after="0" w:line="240" w:lineRule="auto"/>
              <w:rPr>
                <w:rFonts w:eastAsia="Times New Roman"/>
                <w:color w:val="000000"/>
                <w:kern w:val="0"/>
                <w:szCs w:val="22"/>
                <w:lang w:val="fr-CA"/>
                <w14:ligatures w14:val="none"/>
              </w:rPr>
            </w:pPr>
            <w:r w:rsidRPr="00CD71E6">
              <w:rPr>
                <w:rFonts w:eastAsia="Times New Roman"/>
                <w:color w:val="000000"/>
                <w:kern w:val="0"/>
                <w:szCs w:val="22"/>
                <w:lang w:val="fr-CA"/>
                <w14:ligatures w14:val="none"/>
              </w:rPr>
              <w:t>Taloyoak</w:t>
            </w:r>
          </w:p>
        </w:tc>
        <w:tc>
          <w:tcPr>
            <w:tcW w:w="1560" w:type="dxa"/>
            <w:tcBorders>
              <w:top w:val="nil"/>
              <w:left w:val="nil"/>
              <w:bottom w:val="single" w:sz="18" w:space="0" w:color="auto"/>
              <w:right w:val="single" w:sz="18" w:space="0" w:color="auto"/>
            </w:tcBorders>
            <w:shd w:val="clear" w:color="auto" w:fill="auto"/>
            <w:noWrap/>
            <w:vAlign w:val="bottom"/>
            <w:hideMark/>
          </w:tcPr>
          <w:p w14:paraId="17620515" w14:textId="77777777" w:rsidR="00447426" w:rsidRPr="00CD71E6" w:rsidRDefault="00447426" w:rsidP="0044742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w:t>
            </w:r>
          </w:p>
        </w:tc>
      </w:tr>
      <w:tr w:rsidR="00447426" w:rsidRPr="00CD71E6" w14:paraId="2C932C26" w14:textId="77777777" w:rsidTr="001540C0">
        <w:trPr>
          <w:trHeight w:val="330"/>
        </w:trPr>
        <w:tc>
          <w:tcPr>
            <w:tcW w:w="709" w:type="dxa"/>
            <w:tcBorders>
              <w:top w:val="single" w:sz="4" w:space="0" w:color="FFFFFF" w:themeColor="background1"/>
              <w:left w:val="nil"/>
              <w:bottom w:val="single" w:sz="4" w:space="0" w:color="FFFFFF" w:themeColor="background1"/>
              <w:right w:val="single" w:sz="18" w:space="0" w:color="auto"/>
            </w:tcBorders>
            <w:shd w:val="clear" w:color="auto" w:fill="auto"/>
            <w:noWrap/>
            <w:vAlign w:val="bottom"/>
            <w:hideMark/>
          </w:tcPr>
          <w:p w14:paraId="3E64E2D8" w14:textId="77777777" w:rsidR="00447426" w:rsidRPr="00CD71E6" w:rsidRDefault="00447426" w:rsidP="00447426">
            <w:pPr>
              <w:spacing w:after="0" w:line="240" w:lineRule="auto"/>
              <w:rPr>
                <w:rFonts w:eastAsia="Times New Roman"/>
                <w:color w:val="000000"/>
                <w:kern w:val="0"/>
                <w:szCs w:val="22"/>
                <w:lang w:val="fr-CA"/>
                <w14:ligatures w14:val="none"/>
              </w:rPr>
            </w:pPr>
          </w:p>
        </w:tc>
        <w:tc>
          <w:tcPr>
            <w:tcW w:w="1772" w:type="dxa"/>
            <w:tcBorders>
              <w:top w:val="single" w:sz="18" w:space="0" w:color="auto"/>
              <w:left w:val="single" w:sz="18" w:space="0" w:color="auto"/>
              <w:bottom w:val="single" w:sz="18" w:space="0" w:color="auto"/>
              <w:right w:val="nil"/>
            </w:tcBorders>
            <w:shd w:val="clear" w:color="auto" w:fill="auto"/>
            <w:noWrap/>
            <w:vAlign w:val="bottom"/>
            <w:hideMark/>
          </w:tcPr>
          <w:p w14:paraId="3F5F49EB" w14:textId="2C699342" w:rsidR="00447426" w:rsidRPr="00CD71E6" w:rsidRDefault="00447426" w:rsidP="009B7608">
            <w:pPr>
              <w:spacing w:after="0" w:line="240" w:lineRule="auto"/>
              <w:rPr>
                <w:rFonts w:eastAsia="Times New Roman"/>
                <w:b/>
                <w:bCs/>
                <w:color w:val="000000"/>
                <w:kern w:val="0"/>
                <w:sz w:val="24"/>
                <w:szCs w:val="24"/>
                <w:lang w:val="fr-CA"/>
                <w14:ligatures w14:val="none"/>
              </w:rPr>
            </w:pPr>
            <w:r w:rsidRPr="00CD71E6">
              <w:rPr>
                <w:rFonts w:eastAsia="Times New Roman"/>
                <w:b/>
                <w:bCs/>
                <w:color w:val="000000"/>
                <w:kern w:val="0"/>
                <w:szCs w:val="24"/>
                <w:lang w:val="fr-CA"/>
                <w14:ligatures w14:val="none"/>
              </w:rPr>
              <w:t xml:space="preserve">Nombre total </w:t>
            </w:r>
            <w:r w:rsidR="009B7608" w:rsidRPr="00CD71E6">
              <w:rPr>
                <w:rFonts w:eastAsia="Times New Roman"/>
                <w:b/>
                <w:bCs/>
                <w:color w:val="000000"/>
                <w:kern w:val="0"/>
                <w:szCs w:val="24"/>
                <w:lang w:val="fr-CA"/>
                <w14:ligatures w14:val="none"/>
              </w:rPr>
              <w:t>de</w:t>
            </w:r>
            <w:r w:rsidR="009B7608">
              <w:rPr>
                <w:rFonts w:eastAsia="Times New Roman"/>
                <w:b/>
                <w:bCs/>
                <w:color w:val="000000"/>
                <w:kern w:val="0"/>
                <w:szCs w:val="24"/>
                <w:lang w:val="fr-CA"/>
                <w14:ligatures w14:val="none"/>
              </w:rPr>
              <w:t> </w:t>
            </w:r>
            <w:r w:rsidRPr="00CD71E6">
              <w:rPr>
                <w:rFonts w:eastAsia="Times New Roman"/>
                <w:b/>
                <w:bCs/>
                <w:color w:val="000000"/>
                <w:kern w:val="0"/>
                <w:szCs w:val="24"/>
                <w:lang w:val="fr-CA"/>
                <w14:ligatures w14:val="none"/>
              </w:rPr>
              <w:t xml:space="preserve">postes </w:t>
            </w:r>
          </w:p>
        </w:tc>
        <w:tc>
          <w:tcPr>
            <w:tcW w:w="1560" w:type="dxa"/>
            <w:tcBorders>
              <w:top w:val="single" w:sz="18" w:space="0" w:color="auto"/>
              <w:left w:val="nil"/>
              <w:bottom w:val="single" w:sz="18" w:space="0" w:color="auto"/>
              <w:right w:val="single" w:sz="18" w:space="0" w:color="auto"/>
            </w:tcBorders>
            <w:shd w:val="clear" w:color="auto" w:fill="auto"/>
            <w:noWrap/>
            <w:vAlign w:val="bottom"/>
            <w:hideMark/>
          </w:tcPr>
          <w:p w14:paraId="45A380DB" w14:textId="0765ECCF" w:rsidR="00447426" w:rsidRPr="00CD71E6" w:rsidRDefault="00A44DAB" w:rsidP="00447426">
            <w:pPr>
              <w:spacing w:after="0" w:line="240" w:lineRule="auto"/>
              <w:jc w:val="right"/>
              <w:rPr>
                <w:rFonts w:eastAsia="Times New Roman"/>
                <w:b/>
                <w:bCs/>
                <w:color w:val="000000"/>
                <w:kern w:val="0"/>
                <w:szCs w:val="22"/>
                <w:lang w:val="fr-CA"/>
                <w14:ligatures w14:val="none"/>
              </w:rPr>
            </w:pPr>
            <w:r w:rsidRPr="00CD71E6">
              <w:rPr>
                <w:rFonts w:eastAsia="Times New Roman"/>
                <w:b/>
                <w:bCs/>
                <w:color w:val="000000"/>
                <w:kern w:val="0"/>
                <w:szCs w:val="22"/>
                <w:lang w:val="fr-CA"/>
                <w14:ligatures w14:val="none"/>
              </w:rPr>
              <w:t>230,1</w:t>
            </w:r>
          </w:p>
        </w:tc>
      </w:tr>
      <w:tr w:rsidR="001540C0" w:rsidRPr="00CD71E6" w14:paraId="2FF8EA0A" w14:textId="77777777" w:rsidTr="001540C0">
        <w:trPr>
          <w:trHeight w:val="223"/>
        </w:trPr>
        <w:tc>
          <w:tcPr>
            <w:tcW w:w="709" w:type="dxa"/>
            <w:tcBorders>
              <w:top w:val="single" w:sz="4" w:space="0" w:color="FFFFFF" w:themeColor="background1"/>
              <w:left w:val="nil"/>
              <w:bottom w:val="nil"/>
              <w:right w:val="single" w:sz="18" w:space="0" w:color="FFFFFF" w:themeColor="background1"/>
            </w:tcBorders>
            <w:shd w:val="clear" w:color="auto" w:fill="auto"/>
            <w:noWrap/>
            <w:vAlign w:val="bottom"/>
          </w:tcPr>
          <w:p w14:paraId="4A803FDC" w14:textId="77777777" w:rsidR="001540C0" w:rsidRPr="00CD71E6" w:rsidRDefault="001540C0" w:rsidP="00447426">
            <w:pPr>
              <w:spacing w:after="0" w:line="240" w:lineRule="auto"/>
              <w:rPr>
                <w:rFonts w:eastAsia="Times New Roman"/>
                <w:color w:val="000000"/>
                <w:kern w:val="0"/>
                <w:szCs w:val="22"/>
                <w:lang w:val="fr-CA"/>
                <w14:ligatures w14:val="none"/>
              </w:rPr>
            </w:pPr>
          </w:p>
        </w:tc>
        <w:tc>
          <w:tcPr>
            <w:tcW w:w="1772" w:type="dxa"/>
            <w:tcBorders>
              <w:top w:val="single" w:sz="18" w:space="0" w:color="auto"/>
              <w:left w:val="single" w:sz="18" w:space="0" w:color="FFFFFF" w:themeColor="background1"/>
              <w:bottom w:val="single" w:sz="18" w:space="0" w:color="FFFFFF" w:themeColor="background1"/>
              <w:right w:val="nil"/>
            </w:tcBorders>
            <w:shd w:val="clear" w:color="auto" w:fill="auto"/>
            <w:noWrap/>
            <w:vAlign w:val="bottom"/>
          </w:tcPr>
          <w:p w14:paraId="351EA913" w14:textId="77777777" w:rsidR="001540C0" w:rsidRPr="00CD71E6" w:rsidRDefault="001540C0" w:rsidP="00447426">
            <w:pPr>
              <w:spacing w:after="0" w:line="240" w:lineRule="auto"/>
              <w:jc w:val="center"/>
              <w:rPr>
                <w:rFonts w:eastAsia="Times New Roman"/>
                <w:b/>
                <w:bCs/>
                <w:color w:val="000000"/>
                <w:kern w:val="0"/>
                <w:szCs w:val="24"/>
                <w:lang w:val="fr-CA"/>
                <w14:ligatures w14:val="none"/>
              </w:rPr>
            </w:pPr>
          </w:p>
        </w:tc>
        <w:tc>
          <w:tcPr>
            <w:tcW w:w="1560" w:type="dxa"/>
            <w:tcBorders>
              <w:top w:val="single" w:sz="18" w:space="0" w:color="auto"/>
              <w:left w:val="nil"/>
              <w:bottom w:val="single" w:sz="18" w:space="0" w:color="FFFFFF" w:themeColor="background1"/>
              <w:right w:val="single" w:sz="18" w:space="0" w:color="FFFFFF" w:themeColor="background1"/>
            </w:tcBorders>
            <w:shd w:val="clear" w:color="auto" w:fill="auto"/>
            <w:noWrap/>
            <w:vAlign w:val="bottom"/>
          </w:tcPr>
          <w:p w14:paraId="744902AF" w14:textId="77777777" w:rsidR="001540C0" w:rsidRPr="00CD71E6" w:rsidRDefault="001540C0" w:rsidP="00447426">
            <w:pPr>
              <w:spacing w:after="0" w:line="240" w:lineRule="auto"/>
              <w:jc w:val="right"/>
              <w:rPr>
                <w:rFonts w:eastAsia="Times New Roman"/>
                <w:b/>
                <w:bCs/>
                <w:color w:val="000000"/>
                <w:kern w:val="0"/>
                <w:szCs w:val="22"/>
                <w:lang w:val="fr-CA"/>
                <w14:ligatures w14:val="none"/>
              </w:rPr>
            </w:pPr>
          </w:p>
        </w:tc>
      </w:tr>
    </w:tbl>
    <w:p w14:paraId="169C0677" w14:textId="5866D459" w:rsidR="00D003A3" w:rsidRPr="00CD71E6" w:rsidRDefault="00386271" w:rsidP="00D65591">
      <w:pPr>
        <w:rPr>
          <w:lang w:val="fr-CA"/>
        </w:rPr>
      </w:pPr>
      <w:r w:rsidRPr="00CD71E6">
        <w:rPr>
          <w:lang w:val="fr-CA"/>
        </w:rPr>
        <w:t xml:space="preserve">Le Collège de l’Arctique du Nunavut exerce ses activités dans un modèle décentralisé et emploie environ 232 employés (230,1 ETP en date du 31 mars 2018) dans les régions de Qikiqtaaluk, de Kivalliq et de Kitikmeot, au Nunavut. Pour exercer ses responsabilités, le Collège compte trois campus régionaux, soit un à Iqaluit, un à Rankin Inlet et un à Cambridge Bay. En outre, chaque collectivité est dotée d’un centre d’apprentissage communautaire qui appartient au Collège ou qui se trouve dans des locaux loués. </w:t>
      </w:r>
    </w:p>
    <w:p w14:paraId="0484088E" w14:textId="354DC49C" w:rsidR="00D53BCB" w:rsidRPr="00CD71E6" w:rsidRDefault="00D53BCB" w:rsidP="00D65591">
      <w:pPr>
        <w:rPr>
          <w:lang w:val="fr-CA"/>
        </w:rPr>
      </w:pPr>
      <w:r w:rsidRPr="00CD71E6">
        <w:rPr>
          <w:lang w:val="fr-CA"/>
        </w:rPr>
        <w:t>Les autres installations comprennent des bureaux du personnel importants à Arviat, l’Institut de recherche du Nunavut à Iqaluit, l’Oral History Research Centre à Igloolik, l’établissement d’apprentissage culturel inuit Piqqusilirivvik à Clyde River, dont le Collège était responsable en 2013-2014, et l’école de métiers (Sanatuliqsarvik) à Rankin Inlet.</w:t>
      </w:r>
    </w:p>
    <w:p w14:paraId="7AB0BF65" w14:textId="7CFBA1C5" w:rsidR="00D003A3" w:rsidRPr="00CD71E6" w:rsidRDefault="00D003A3" w:rsidP="00D65591">
      <w:pPr>
        <w:rPr>
          <w:lang w:val="fr-CA"/>
        </w:rPr>
      </w:pPr>
      <w:r w:rsidRPr="00CD71E6">
        <w:rPr>
          <w:lang w:val="fr-CA"/>
        </w:rPr>
        <w:t>La majorité des employés travaillent dans les divisions des campus régionaux d’Iqaluit (Nunatta), de Rankin Inlet et de Cambridge Bay, et sont responsables de la prestation des programmes. Les rôles s’articulent généralement autour d’emplois liés à la gestion, à la coordination, à l’administration et à l’enseignement des programmes du Collège. Les Inuits composent 44 % du personnel du campus d’Iqaluit, 52 % du personnel du campus de Rankin Inlet et 42 % du personnel du campus de Cambridge Bay. En raison de la nature décentralisée des activités du Collège, il existe une excellente occasion de former les Inuits pour qu’ils occupent des rôles supérieurs.</w:t>
      </w:r>
    </w:p>
    <w:p w14:paraId="77615730" w14:textId="77777777" w:rsidR="009319AD" w:rsidRPr="00CD71E6" w:rsidRDefault="009319AD" w:rsidP="00D65591">
      <w:pPr>
        <w:pStyle w:val="Heading3"/>
        <w:rPr>
          <w:lang w:val="fr-CA"/>
        </w:rPr>
      </w:pPr>
      <w:bookmarkStart w:id="22" w:name="_Toc41053682"/>
      <w:r w:rsidRPr="00CD71E6">
        <w:rPr>
          <w:bCs/>
          <w:lang w:val="fr-CA"/>
        </w:rPr>
        <w:t>Langue et culture inuites</w:t>
      </w:r>
      <w:bookmarkEnd w:id="22"/>
    </w:p>
    <w:p w14:paraId="4329CA65" w14:textId="77777777" w:rsidR="00BE5568" w:rsidRPr="00CD71E6" w:rsidRDefault="009319AD" w:rsidP="00D65591">
      <w:pPr>
        <w:rPr>
          <w:lang w:val="fr-CA"/>
        </w:rPr>
      </w:pPr>
      <w:r w:rsidRPr="00CD71E6">
        <w:rPr>
          <w:lang w:val="fr-CA"/>
        </w:rPr>
        <w:t xml:space="preserve">La division de la langue et de la culture inuites est à la fois responsable de programmes particuliers et de programmes généraux. Sa responsabilité générale consiste à soutenir les programmes de langue et de cultures inuites et à veiller à ce que tous les programmes du Collège contiennent du contenu pertinent à cet égard. Ses activités sont soutenues par les conseils du comité de la langue et de la culture. </w:t>
      </w:r>
    </w:p>
    <w:p w14:paraId="6C5AD148" w14:textId="359C7D45" w:rsidR="009319AD" w:rsidRPr="00CD71E6" w:rsidRDefault="009319AD" w:rsidP="00D65591">
      <w:pPr>
        <w:rPr>
          <w:lang w:val="fr-CA"/>
        </w:rPr>
      </w:pPr>
      <w:r w:rsidRPr="00CD71E6">
        <w:rPr>
          <w:lang w:val="fr-CA"/>
        </w:rPr>
        <w:t xml:space="preserve">Les principales fonctions de cette division sont accomplies à partir du campus Nunatta à Iqaluit, mais les programmes sont offerts dans chacun des campus et des centres d’apprentissage communautaires. L’Oral History Research Centre à Igloolik compte aussi quelques postes de recherche. </w:t>
      </w:r>
    </w:p>
    <w:p w14:paraId="09929432" w14:textId="5626A3A5" w:rsidR="00DC0737" w:rsidRPr="00CD71E6" w:rsidRDefault="00EF467B" w:rsidP="00D65591">
      <w:pPr>
        <w:rPr>
          <w:lang w:val="fr-CA"/>
        </w:rPr>
      </w:pPr>
      <w:r w:rsidRPr="00CD71E6">
        <w:rPr>
          <w:lang w:val="fr-CA"/>
        </w:rPr>
        <w:lastRenderedPageBreak/>
        <w:t xml:space="preserve">Piqqusilirivvik est l’établissement d’apprentissage culturel inuit qui offre des programmes à Clyde River, à Baker Lake et à Igloolik. Piqqusilirivvik se consacre au transfert de la culture et des connaissances traditionnelles, enseignées en langue inuite et fondées sur les principes directeurs de l’Inuit Qaujimajatuqangit. </w:t>
      </w:r>
    </w:p>
    <w:p w14:paraId="29843864" w14:textId="77777777" w:rsidR="009319AD" w:rsidRPr="00CD71E6" w:rsidRDefault="009319AD" w:rsidP="000E7E1F">
      <w:pPr>
        <w:pStyle w:val="Heading3"/>
        <w:jc w:val="both"/>
        <w:rPr>
          <w:lang w:val="fr-CA"/>
        </w:rPr>
      </w:pPr>
      <w:bookmarkStart w:id="23" w:name="_Toc41053683"/>
      <w:r w:rsidRPr="00CD71E6">
        <w:rPr>
          <w:bCs/>
          <w:lang w:val="fr-CA"/>
        </w:rPr>
        <w:t>Apprentissage communautaire et à distance</w:t>
      </w:r>
      <w:bookmarkEnd w:id="23"/>
    </w:p>
    <w:p w14:paraId="50742E64" w14:textId="5ECD497D" w:rsidR="009319AD" w:rsidRPr="00CD71E6" w:rsidRDefault="009319AD" w:rsidP="00D65591">
      <w:pPr>
        <w:rPr>
          <w:lang w:val="fr-CA"/>
        </w:rPr>
      </w:pPr>
      <w:r w:rsidRPr="00CD71E6">
        <w:rPr>
          <w:lang w:val="fr-CA"/>
        </w:rPr>
        <w:t xml:space="preserve">Les centres d’apprentissage communautaires sont tous dotés d’un éducateur d’adultes. Ils mettent en place et coordonnent des programmes, soutiennent les apprenants adultes, évaluent les besoins communautaires et sont le premier point de contact pour les personnes qui souhaitent obtenir de l’information ou accéder à des programmes ou des services du Collège. Les éducateurs d’adultes offrent des programmes d’éducation de base des adultes, d’alphabétisation, de formation préalable à l’emploi et de préparation scolaire en vue d’une admission au Collège ou d’un emploi. Certains centres d’apprentissage communautaires offrent le programme d’administration de bureau et le programme </w:t>
      </w:r>
      <w:r w:rsidR="00B22CA8">
        <w:rPr>
          <w:lang w:val="fr-CA"/>
        </w:rPr>
        <w:br/>
      </w:r>
      <w:r w:rsidRPr="00CD71E6">
        <w:rPr>
          <w:lang w:val="fr-CA"/>
        </w:rPr>
        <w:t xml:space="preserve">de préparation aux études collégiales qui préparent les étudiants à une carrière en technologie environnementale, et de l’enseignement. </w:t>
      </w:r>
    </w:p>
    <w:p w14:paraId="142498E8" w14:textId="62958103" w:rsidR="009319AD" w:rsidRPr="00CD71E6" w:rsidRDefault="009319AD" w:rsidP="00D65591">
      <w:pPr>
        <w:rPr>
          <w:lang w:val="fr-CA"/>
        </w:rPr>
      </w:pPr>
      <w:r w:rsidRPr="00CD71E6">
        <w:rPr>
          <w:lang w:val="fr-CA"/>
        </w:rPr>
        <w:t>La section des études postsecondaires, au campus Nunatta, offre les programmes d’administration de bureau et de préparation aux études collégiales. La section de l’apprentissage à distance offre le programme Voie vers l’obtention d’un diplôme d’études secondaires pour les adultes partout au Nunavut. Le premier semestre du programme de production et de conception de fourrure est offert annuellement dans chaque région. La section de formation continue offre des cours de soir au campus Nunatta et coordonne les contrats conclus avec des tiers.</w:t>
      </w:r>
    </w:p>
    <w:p w14:paraId="1919C6DD" w14:textId="77777777" w:rsidR="009319AD" w:rsidRPr="00CD71E6" w:rsidRDefault="009319AD" w:rsidP="000E7E1F">
      <w:pPr>
        <w:pStyle w:val="Heading3"/>
        <w:jc w:val="both"/>
        <w:rPr>
          <w:lang w:val="fr-CA"/>
        </w:rPr>
      </w:pPr>
      <w:bookmarkStart w:id="24" w:name="_Toc41053684"/>
      <w:r w:rsidRPr="00CD71E6">
        <w:rPr>
          <w:bCs/>
          <w:lang w:val="fr-CA"/>
        </w:rPr>
        <w:t>Carrières en affaires et perfectionnement de la main-d’œuvre</w:t>
      </w:r>
      <w:bookmarkEnd w:id="24"/>
    </w:p>
    <w:p w14:paraId="0CEECD1A" w14:textId="04891EC0" w:rsidR="009319AD" w:rsidRPr="00CD71E6" w:rsidRDefault="009319AD" w:rsidP="00D65591">
      <w:pPr>
        <w:rPr>
          <w:lang w:val="fr-CA"/>
        </w:rPr>
      </w:pPr>
      <w:r w:rsidRPr="00CD71E6">
        <w:rPr>
          <w:lang w:val="fr-CA"/>
        </w:rPr>
        <w:t xml:space="preserve">Les principaux programmes de carrière dans cette division sont les programmes d’études en gestion et d’administration de bureau, lesquels visent à fournir aux étudiants une formation pour les préparer à être des candidats à l’emploi auprès d’organismes du Nunavut, y compris, mais sans s’y limiter, le gouvernement du Canada, le gouvernement du Nunavut, des entités en vertu de l’Accord du Nunavut, des administrations municipales et locales, des entreprises et des organismes sans but lucratif. </w:t>
      </w:r>
      <w:r w:rsidR="00B22CA8">
        <w:rPr>
          <w:lang w:val="fr-CA"/>
        </w:rPr>
        <w:br/>
      </w:r>
      <w:r w:rsidRPr="00CD71E6">
        <w:rPr>
          <w:lang w:val="fr-CA"/>
        </w:rPr>
        <w:t xml:space="preserve">Cette division gère également les contrats de formation du personnel de l’organisme de formation municipal et du GN. </w:t>
      </w:r>
    </w:p>
    <w:p w14:paraId="19701681" w14:textId="77777777" w:rsidR="009319AD" w:rsidRPr="00CD71E6" w:rsidRDefault="009319AD" w:rsidP="000E7E1F">
      <w:pPr>
        <w:pStyle w:val="Heading3"/>
        <w:jc w:val="both"/>
        <w:rPr>
          <w:lang w:val="fr-CA"/>
        </w:rPr>
      </w:pPr>
      <w:bookmarkStart w:id="25" w:name="_Toc41053685"/>
      <w:r w:rsidRPr="00CD71E6">
        <w:rPr>
          <w:bCs/>
          <w:lang w:val="fr-CA"/>
        </w:rPr>
        <w:t>Carrières en éducation</w:t>
      </w:r>
      <w:bookmarkEnd w:id="25"/>
    </w:p>
    <w:p w14:paraId="7C1C1193" w14:textId="1B6D532A" w:rsidR="009319AD" w:rsidRPr="00CD71E6" w:rsidRDefault="009319AD" w:rsidP="00D65591">
      <w:pPr>
        <w:rPr>
          <w:lang w:val="fr-CA"/>
        </w:rPr>
      </w:pPr>
      <w:r w:rsidRPr="00CD71E6">
        <w:rPr>
          <w:lang w:val="fr-CA"/>
        </w:rPr>
        <w:t xml:space="preserve">Le principal programme de carrière de cette division est le Programme de formation des enseignants du Nunavut. Celui-ci prépare les enseignants bilingues de niveaux élémentaire et intermédiaire à l’emploi dans des écoles du Nunavut. Ces offres sont supervisées par le comité de partenariat pour la formation des enseignants du ministère de l’Éducation, qui coordonne la formation et l’emploi des diplômés. </w:t>
      </w:r>
      <w:r w:rsidR="00B22CA8">
        <w:rPr>
          <w:lang w:val="fr-CA"/>
        </w:rPr>
        <w:br/>
      </w:r>
      <w:r w:rsidRPr="00CD71E6">
        <w:rPr>
          <w:lang w:val="fr-CA"/>
        </w:rPr>
        <w:t>La division assume également un rôle de leadership en favorisant et en élargissant la prestation du programme d’éducation de la petite enfance, lequel prépare les diplômés au travail avec des enfants allant de nourrissons jusqu’à l’âge de six ans, dans un cadre formel et informel. À l’heure actuelle, le Programme de formation des enseignants du Nunavut est offert dans dix (10) collectivités du Nunavut, le programme de base en EPE menant à un diplôme étant offert à Iqaluit et à Cambridge Bay, et le programme appliqué menant à un certificat étant offert dans six (6) collectivités.</w:t>
      </w:r>
    </w:p>
    <w:p w14:paraId="3A60AE13" w14:textId="77777777" w:rsidR="009319AD" w:rsidRPr="00CD71E6" w:rsidRDefault="009319AD" w:rsidP="000E7E1F">
      <w:pPr>
        <w:pStyle w:val="Heading3"/>
        <w:jc w:val="both"/>
        <w:rPr>
          <w:lang w:val="fr-CA"/>
        </w:rPr>
      </w:pPr>
      <w:bookmarkStart w:id="26" w:name="_Toc41053686"/>
      <w:r w:rsidRPr="00CD71E6">
        <w:rPr>
          <w:bCs/>
          <w:lang w:val="fr-CA"/>
        </w:rPr>
        <w:lastRenderedPageBreak/>
        <w:t>Carrières en santé et en bien-être</w:t>
      </w:r>
      <w:bookmarkEnd w:id="26"/>
    </w:p>
    <w:p w14:paraId="2A02EB84" w14:textId="77777777" w:rsidR="009319AD" w:rsidRPr="00CD71E6" w:rsidRDefault="009319AD" w:rsidP="00D65591">
      <w:pPr>
        <w:rPr>
          <w:lang w:val="fr-CA"/>
        </w:rPr>
      </w:pPr>
      <w:r w:rsidRPr="00CD71E6">
        <w:rPr>
          <w:lang w:val="fr-CA"/>
        </w:rPr>
        <w:t>Les principaux programmes de carrière de cette division sont les diplômes d’infirmières et de travailleurs de services sociaux. Ces offres sont supervisées par le comité de partenariat pour les services de santé et à la famille du ministère de la Santé, qui coordonne la formation et l’emploi des diplômés. À l’heure actuelle, le diplôme en sciences infirmières est seulement offert au campus Nunatta à Iqaluit.</w:t>
      </w:r>
    </w:p>
    <w:p w14:paraId="24B1CED1" w14:textId="77777777" w:rsidR="006205D5" w:rsidRPr="00CD71E6" w:rsidRDefault="006205D5" w:rsidP="000E7E1F">
      <w:pPr>
        <w:pStyle w:val="Heading3"/>
        <w:jc w:val="both"/>
        <w:rPr>
          <w:lang w:val="fr-CA"/>
        </w:rPr>
      </w:pPr>
      <w:bookmarkStart w:id="27" w:name="_Toc41053687"/>
      <w:r w:rsidRPr="00CD71E6">
        <w:rPr>
          <w:bCs/>
          <w:lang w:val="fr-CA"/>
        </w:rPr>
        <w:t>Carrières dans les métiers et les technologies</w:t>
      </w:r>
      <w:bookmarkEnd w:id="27"/>
    </w:p>
    <w:p w14:paraId="5457E478" w14:textId="76EAB832" w:rsidR="006205D5" w:rsidRPr="00CD71E6" w:rsidRDefault="006205D5" w:rsidP="00D65591">
      <w:pPr>
        <w:rPr>
          <w:lang w:val="fr-CA"/>
        </w:rPr>
      </w:pPr>
      <w:r w:rsidRPr="00CD71E6">
        <w:rPr>
          <w:lang w:val="fr-CA"/>
        </w:rPr>
        <w:t>Les principaux programmes de carrière de cette division sont dans les métiers, notamment la formation pour menuisiers, préposés à l’entretien de logements, électriciens, plombiers et mécaniciens de brûleurs à mazout. La division travaille en étroite collaboration avec la Commission de l’apprentissage et de la qualification professionnelle des métiers et professions du Nunavut et la table ronde du secteur minier du Nunavut du ministère du Développement économique et des Transports. La formation en apprentissage est supervisée par le comité de partenariat pour l’apprentissage des adultes du ministère des Services à la famille. Une école de métiers (Sanatuliqsarvik) se trouve à Rankin Inlet.</w:t>
      </w:r>
    </w:p>
    <w:p w14:paraId="5843E525" w14:textId="60D9DEB5" w:rsidR="006205D5" w:rsidRPr="00CD71E6" w:rsidRDefault="006205D5" w:rsidP="000E7E1F">
      <w:pPr>
        <w:pStyle w:val="Heading3"/>
        <w:jc w:val="both"/>
        <w:rPr>
          <w:lang w:val="fr-CA"/>
        </w:rPr>
      </w:pPr>
      <w:bookmarkStart w:id="28" w:name="_Toc41053688"/>
      <w:r w:rsidRPr="00CD71E6">
        <w:rPr>
          <w:bCs/>
          <w:lang w:val="fr-CA"/>
        </w:rPr>
        <w:t>Institut de recherche et d’innovation du Nunavut</w:t>
      </w:r>
      <w:bookmarkEnd w:id="28"/>
    </w:p>
    <w:p w14:paraId="3FBAAA70" w14:textId="29866E64" w:rsidR="006205D5" w:rsidRPr="00CD71E6" w:rsidRDefault="006205D5" w:rsidP="00D65591">
      <w:pPr>
        <w:rPr>
          <w:lang w:val="fr-CA"/>
        </w:rPr>
      </w:pPr>
      <w:r w:rsidRPr="00CD71E6">
        <w:rPr>
          <w:lang w:val="fr-CA"/>
        </w:rPr>
        <w:t>L’Institut de recherche et d’innovation du Nunavut est l’organisme chef de file en sciences, recherche et développement technologique au Nunavut. Il est chargé de la coordination des projets scientifiques d’envergure au Nunavut et de la liaison à leur sujet, et joue un rôle clé dans le développement de la recherche dans le Nord. Il est géré par le directeur de l’Institut de recherche et d’innovation, qui est aussi le conseiller scientifique du Nunavut. L’Institut se trouve à Iqaluit, et compte plusieurs établissements de recherche un peu partout au Nunavut.</w:t>
      </w:r>
    </w:p>
    <w:p w14:paraId="40671746" w14:textId="4B7EE305" w:rsidR="00E971F9" w:rsidRPr="00CD71E6" w:rsidRDefault="008B7611" w:rsidP="000E7E1F">
      <w:pPr>
        <w:pStyle w:val="Heading3"/>
        <w:jc w:val="both"/>
        <w:rPr>
          <w:lang w:val="fr-CA"/>
        </w:rPr>
      </w:pPr>
      <w:bookmarkStart w:id="29" w:name="_Toc41053689"/>
      <w:r w:rsidRPr="00CD71E6">
        <w:rPr>
          <w:bCs/>
          <w:lang w:val="fr-CA"/>
        </w:rPr>
        <w:t>Services aux apprenants</w:t>
      </w:r>
      <w:bookmarkEnd w:id="29"/>
    </w:p>
    <w:p w14:paraId="4DF4BF3B" w14:textId="4C1C3A90" w:rsidR="00E971F9" w:rsidRPr="00CD71E6" w:rsidRDefault="008B7611" w:rsidP="002537AD">
      <w:pPr>
        <w:rPr>
          <w:lang w:val="fr-CA"/>
        </w:rPr>
      </w:pPr>
      <w:r w:rsidRPr="00CD71E6">
        <w:rPr>
          <w:lang w:val="fr-CA"/>
        </w:rPr>
        <w:t xml:space="preserve">Les services aux apprenants comprennent les résidences, les cafétérias, le counseling, les transports, </w:t>
      </w:r>
      <w:r w:rsidR="00B22CA8">
        <w:rPr>
          <w:lang w:val="fr-CA"/>
        </w:rPr>
        <w:br/>
      </w:r>
      <w:r w:rsidRPr="00CD71E6">
        <w:rPr>
          <w:lang w:val="fr-CA"/>
        </w:rPr>
        <w:t>le divertissement, la garde d’enfants et la sécurité dans les campus régionaux. Les services sont offerts dans les trois campus régionaux et sont gérés par leurs doyens respectifs, sauf pour les services de bibliothèque, qui sont gérés par le gestionnaire du centre de ressources communes.</w:t>
      </w:r>
    </w:p>
    <w:p w14:paraId="16A526DE" w14:textId="77777777" w:rsidR="00E971F9" w:rsidRPr="00CD71E6" w:rsidRDefault="00E971F9" w:rsidP="000E7E1F">
      <w:pPr>
        <w:pStyle w:val="Heading3"/>
        <w:jc w:val="both"/>
        <w:rPr>
          <w:lang w:val="fr-CA"/>
        </w:rPr>
      </w:pPr>
      <w:bookmarkStart w:id="30" w:name="_Toc41053690"/>
      <w:r w:rsidRPr="00CD71E6">
        <w:rPr>
          <w:bCs/>
          <w:lang w:val="fr-CA"/>
        </w:rPr>
        <w:t>Services administratifs</w:t>
      </w:r>
      <w:bookmarkEnd w:id="30"/>
    </w:p>
    <w:p w14:paraId="58D0E1B2" w14:textId="77777777" w:rsidR="00E971F9" w:rsidRPr="00CD71E6" w:rsidRDefault="00E971F9" w:rsidP="002537AD">
      <w:pPr>
        <w:rPr>
          <w:lang w:val="fr-CA"/>
        </w:rPr>
      </w:pPr>
      <w:r w:rsidRPr="00CD71E6">
        <w:rPr>
          <w:lang w:val="fr-CA"/>
        </w:rPr>
        <w:t>Les services administratifs comprennent trois bureaux : le bureau du président, le bureau des affaires postsecondaires et le bureau des services commerciaux. Actuellement, le bureau des affaires postsecondaires se trouve à Arviat, et les autres fonctions administratives sont réalisées à Iqaluit.</w:t>
      </w:r>
    </w:p>
    <w:p w14:paraId="55A49A5C" w14:textId="77777777" w:rsidR="00E971F9" w:rsidRPr="00CD71E6" w:rsidRDefault="00E971F9" w:rsidP="000E7E1F">
      <w:pPr>
        <w:pStyle w:val="Heading3"/>
        <w:jc w:val="both"/>
        <w:rPr>
          <w:lang w:val="fr-CA"/>
        </w:rPr>
      </w:pPr>
      <w:bookmarkStart w:id="31" w:name="_Toc41053691"/>
      <w:r w:rsidRPr="00CD71E6">
        <w:rPr>
          <w:bCs/>
          <w:lang w:val="fr-CA"/>
        </w:rPr>
        <w:t>Programme de droit</w:t>
      </w:r>
      <w:bookmarkEnd w:id="31"/>
    </w:p>
    <w:p w14:paraId="26C2A17A" w14:textId="02CF7943" w:rsidR="00E971F9" w:rsidRPr="00CD71E6" w:rsidRDefault="00E971F9" w:rsidP="002537AD">
      <w:pPr>
        <w:rPr>
          <w:lang w:val="fr-CA"/>
        </w:rPr>
      </w:pPr>
      <w:r w:rsidRPr="00CD71E6">
        <w:rPr>
          <w:lang w:val="fr-CA"/>
        </w:rPr>
        <w:t>Le programme de droit est un programme de quatre ans offert conjointement avec l’Université de la Saskatchewan, menant au baccalauréat en droit. Les diplômés de ce programme pourront exercer le droit partout au Canada après leur admission au barreau de la province ou du territoire où ils souhaitent exercer. Le programme est offert à Iqaluit.</w:t>
      </w:r>
    </w:p>
    <w:p w14:paraId="11795462" w14:textId="77777777" w:rsidR="00955B47" w:rsidRPr="00CD71E6" w:rsidRDefault="00955B47" w:rsidP="000E7E1F">
      <w:pPr>
        <w:spacing w:after="200" w:line="276" w:lineRule="auto"/>
        <w:jc w:val="both"/>
        <w:rPr>
          <w:lang w:val="fr-CA"/>
        </w:rPr>
      </w:pPr>
    </w:p>
    <w:p w14:paraId="76A6F1F0" w14:textId="77777777" w:rsidR="008611CA" w:rsidRPr="00CD71E6" w:rsidRDefault="008611CA" w:rsidP="000E7E1F">
      <w:pPr>
        <w:spacing w:after="200" w:line="276" w:lineRule="auto"/>
        <w:jc w:val="both"/>
        <w:rPr>
          <w:lang w:val="fr-CA"/>
        </w:rPr>
      </w:pPr>
      <w:r w:rsidRPr="00CD71E6">
        <w:rPr>
          <w:lang w:val="fr-CA"/>
        </w:rPr>
        <w:br w:type="page"/>
      </w:r>
    </w:p>
    <w:p w14:paraId="59DAC121" w14:textId="69430C29" w:rsidR="0093656E" w:rsidRPr="00CD71E6" w:rsidRDefault="0093656E" w:rsidP="0093656E">
      <w:pPr>
        <w:pStyle w:val="Heading1"/>
        <w:pageBreakBefore/>
        <w:rPr>
          <w:lang w:val="fr-CA"/>
        </w:rPr>
      </w:pPr>
      <w:bookmarkStart w:id="32" w:name="_Toc41053692"/>
      <w:r w:rsidRPr="00CD71E6">
        <w:rPr>
          <w:lang w:val="fr-CA"/>
        </w:rPr>
        <w:lastRenderedPageBreak/>
        <w:t xml:space="preserve">Chapitre 3 : Embauchage des Inuits au sein </w:t>
      </w:r>
      <w:r w:rsidR="009B7608" w:rsidRPr="00CD71E6">
        <w:rPr>
          <w:lang w:val="fr-CA"/>
        </w:rPr>
        <w:t>du</w:t>
      </w:r>
      <w:r w:rsidR="009B7608">
        <w:rPr>
          <w:lang w:val="fr-CA"/>
        </w:rPr>
        <w:t> </w:t>
      </w:r>
      <w:r w:rsidRPr="00CD71E6">
        <w:rPr>
          <w:lang w:val="fr-CA"/>
        </w:rPr>
        <w:t>COLLÈGE</w:t>
      </w:r>
      <w:bookmarkEnd w:id="32"/>
    </w:p>
    <w:p w14:paraId="382FE981" w14:textId="77777777" w:rsidR="0093656E" w:rsidRPr="00CD71E6" w:rsidRDefault="0093656E" w:rsidP="0093656E">
      <w:pPr>
        <w:pStyle w:val="IntenseQuote"/>
        <w:rPr>
          <w:lang w:val="fr-CA"/>
        </w:rPr>
      </w:pPr>
      <w:r w:rsidRPr="00CD71E6">
        <w:rPr>
          <w:bCs/>
          <w:lang w:val="fr-CA"/>
        </w:rPr>
        <w:t>Le présent chapitre résume les taux d’embauchage des Inuits au sein de l’organisme de 2013 jusqu’à maintenant.</w:t>
      </w:r>
    </w:p>
    <w:p w14:paraId="754F145C" w14:textId="77777777" w:rsidR="00D81FB0" w:rsidRPr="00CD71E6" w:rsidRDefault="00D81FB0" w:rsidP="000203F2">
      <w:pPr>
        <w:pStyle w:val="Heading2"/>
        <w:rPr>
          <w:lang w:val="fr-CA"/>
        </w:rPr>
      </w:pPr>
      <w:bookmarkStart w:id="33" w:name="_Toc41053693"/>
      <w:r w:rsidRPr="00CD71E6">
        <w:rPr>
          <w:bCs/>
          <w:lang w:val="fr-CA"/>
        </w:rPr>
        <w:t>Embauchage des Inuits et capacité du Collège de l’Arctique du Nunavut</w:t>
      </w:r>
      <w:bookmarkEnd w:id="33"/>
    </w:p>
    <w:p w14:paraId="211DBD87" w14:textId="4CB2F55F" w:rsidR="0093656E" w:rsidRPr="00CD71E6" w:rsidRDefault="0093656E" w:rsidP="002537AD">
      <w:pPr>
        <w:rPr>
          <w:rFonts w:cs="Calibri"/>
          <w:color w:val="000000"/>
          <w:kern w:val="0"/>
          <w:szCs w:val="22"/>
          <w:lang w:val="fr-CA"/>
        </w:rPr>
      </w:pPr>
      <w:r w:rsidRPr="00CD71E6">
        <w:rPr>
          <w:lang w:val="fr-CA"/>
        </w:rPr>
        <w:t>Le</w:t>
      </w:r>
      <w:r w:rsidRPr="00CD71E6">
        <w:rPr>
          <w:color w:val="000000"/>
          <w:kern w:val="0"/>
          <w:szCs w:val="22"/>
          <w:lang w:val="fr-CA"/>
        </w:rPr>
        <w:t xml:space="preserve"> tableau suivant présente un sommaire des taux d’embauchage de 2013 à 2018. Le tableau représente le nombre total de postes à la fin de chaque exercice financier en ce qui concerne l’embauchage d’Inuits, l’embauchage de non-Inuits et les postes à pourvoir. Chaque aperçu date du 31 mars de chaque année. </w:t>
      </w:r>
    </w:p>
    <w:p w14:paraId="0CFC9859" w14:textId="77777777" w:rsidR="0093656E" w:rsidRPr="00CD71E6" w:rsidRDefault="0093656E" w:rsidP="002537AD">
      <w:pPr>
        <w:rPr>
          <w:rFonts w:cs="Calibri"/>
          <w:color w:val="000000"/>
          <w:kern w:val="0"/>
          <w:szCs w:val="22"/>
          <w:lang w:val="fr-CA"/>
        </w:rPr>
      </w:pPr>
      <w:r w:rsidRPr="00CD71E6">
        <w:rPr>
          <w:rFonts w:cs="Calibri"/>
          <w:color w:val="000000"/>
          <w:kern w:val="0"/>
          <w:szCs w:val="22"/>
          <w:lang w:val="fr-CA"/>
        </w:rPr>
        <w:t>Parmi les antécédents à prendre en considération pendant la consultation des données, notons :</w:t>
      </w:r>
    </w:p>
    <w:p w14:paraId="516D3991" w14:textId="7EBD44CF" w:rsidR="0093656E" w:rsidRPr="00CD71E6" w:rsidRDefault="0093656E" w:rsidP="0094062C">
      <w:pPr>
        <w:pStyle w:val="ListParagraph"/>
        <w:numPr>
          <w:ilvl w:val="0"/>
          <w:numId w:val="18"/>
        </w:numPr>
        <w:rPr>
          <w:lang w:val="fr-CA"/>
        </w:rPr>
      </w:pPr>
      <w:r w:rsidRPr="00CD71E6">
        <w:rPr>
          <w:lang w:val="fr-CA"/>
        </w:rPr>
        <w:t xml:space="preserve">La création et la cessation de postes à durée déterminée qui sont requis pour l’enseignement d’un programme particulier dans différentes collectivités, causant des fluctuations et une hausse dans la catégorie des professionnels. </w:t>
      </w:r>
    </w:p>
    <w:p w14:paraId="66464218" w14:textId="77E78265" w:rsidR="0093656E" w:rsidRPr="00CD71E6" w:rsidRDefault="0093656E" w:rsidP="0094062C">
      <w:pPr>
        <w:pStyle w:val="ListParagraph"/>
        <w:numPr>
          <w:ilvl w:val="0"/>
          <w:numId w:val="18"/>
        </w:numPr>
        <w:rPr>
          <w:lang w:val="fr-CA"/>
        </w:rPr>
      </w:pPr>
      <w:r w:rsidRPr="00CD71E6">
        <w:rPr>
          <w:lang w:val="fr-CA"/>
        </w:rPr>
        <w:t>Les niveaux de capacité et l’embauchage des Inuits sont demeurés relativement stables dans la plupart des catégories. Les fluctuations les plus fréquentes ont lieu dans les catégories qui comptent peu de postes.</w:t>
      </w:r>
    </w:p>
    <w:p w14:paraId="30628B6E" w14:textId="087C0A9E" w:rsidR="0093656E" w:rsidRPr="00CD71E6" w:rsidRDefault="0093656E" w:rsidP="0094062C">
      <w:pPr>
        <w:pStyle w:val="ListParagraph"/>
        <w:numPr>
          <w:ilvl w:val="0"/>
          <w:numId w:val="18"/>
        </w:numPr>
        <w:rPr>
          <w:lang w:val="fr-CA"/>
        </w:rPr>
      </w:pPr>
      <w:r w:rsidRPr="00CD71E6">
        <w:rPr>
          <w:lang w:val="fr-CA"/>
        </w:rPr>
        <w:t xml:space="preserve">Entre 2013 et 2018, certains postes ont été déplacés dans différentes catégories, notamment des modifications dans les catégories de direction et de cadres supérieurs et les catégories des paraprofessionnels et du soutien administratif. </w:t>
      </w:r>
    </w:p>
    <w:p w14:paraId="4F8BC657" w14:textId="7BD16512" w:rsidR="0093656E" w:rsidRPr="00CD71E6" w:rsidRDefault="00A8607F" w:rsidP="00DA0830">
      <w:pPr>
        <w:rPr>
          <w:lang w:val="fr-CA"/>
        </w:rPr>
      </w:pPr>
      <w:bookmarkStart w:id="34" w:name="_Toc505763733"/>
      <w:r>
        <w:rPr>
          <w:noProof/>
          <w:lang w:val="fr-CA" w:eastAsia="fr-CA"/>
        </w:rPr>
        <w:lastRenderedPageBreak/>
        <w:drawing>
          <wp:inline distT="0" distB="0" distL="0" distR="0" wp14:anchorId="2B1F6B29" wp14:editId="5138C699">
            <wp:extent cx="5943600" cy="3497580"/>
            <wp:effectExtent l="0" t="0" r="19050" b="266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8E2744" w14:textId="77777777" w:rsidR="006E0989" w:rsidRPr="00CD71E6" w:rsidRDefault="006E0989" w:rsidP="006E0989">
      <w:pPr>
        <w:pStyle w:val="Heading2"/>
        <w:keepNext/>
        <w:jc w:val="both"/>
        <w:rPr>
          <w:rFonts w:cs="Arial"/>
          <w:lang w:val="fr-CA"/>
        </w:rPr>
      </w:pPr>
      <w:bookmarkStart w:id="35" w:name="_Toc41053694"/>
      <w:bookmarkEnd w:id="34"/>
      <w:r w:rsidRPr="00CD71E6">
        <w:rPr>
          <w:rFonts w:cs="Arial"/>
          <w:bCs/>
          <w:lang w:val="fr-CA"/>
        </w:rPr>
        <w:t>Embauchage des Inuits par catégories d’emploi</w:t>
      </w:r>
      <w:bookmarkEnd w:id="35"/>
    </w:p>
    <w:p w14:paraId="0CF926D9" w14:textId="79D4BFB4" w:rsidR="0093656E" w:rsidRPr="00CD71E6" w:rsidRDefault="0093656E" w:rsidP="006E0989">
      <w:pPr>
        <w:rPr>
          <w:rFonts w:cs="Calibri"/>
          <w:color w:val="000000"/>
          <w:kern w:val="0"/>
          <w:szCs w:val="22"/>
          <w:lang w:val="fr-CA"/>
        </w:rPr>
      </w:pPr>
      <w:r w:rsidRPr="00CD71E6">
        <w:rPr>
          <w:rFonts w:cs="Calibri"/>
          <w:color w:val="000000"/>
          <w:kern w:val="0"/>
          <w:szCs w:val="22"/>
          <w:lang w:val="fr-CA"/>
        </w:rPr>
        <w:t>Le CAN utilise le système de catégories d’emploi du gouvernement du Nunavut pour faire le suivi de ses postes et en faire rapport. Le système classe les postes en six catégories distinctes selon le type de travail réalisé, le niveau d’études requis pour se qualifier à l’emploi, et la nécessité d’obtenir un titre professionnel. Les catégories d’emploi sont les suivantes :</w:t>
      </w:r>
    </w:p>
    <w:p w14:paraId="4D5411D9" w14:textId="77777777" w:rsidR="0093656E" w:rsidRPr="00CD71E6" w:rsidRDefault="0093656E" w:rsidP="0094062C">
      <w:pPr>
        <w:pStyle w:val="Default"/>
        <w:numPr>
          <w:ilvl w:val="0"/>
          <w:numId w:val="12"/>
        </w:numPr>
        <w:spacing w:before="100"/>
        <w:rPr>
          <w:sz w:val="22"/>
          <w:szCs w:val="22"/>
          <w:lang w:val="fr-CA"/>
        </w:rPr>
      </w:pPr>
      <w:r w:rsidRPr="00CD71E6">
        <w:rPr>
          <w:sz w:val="22"/>
          <w:szCs w:val="22"/>
          <w:lang w:val="fr-CA"/>
        </w:rPr>
        <w:t>Direction</w:t>
      </w:r>
    </w:p>
    <w:p w14:paraId="2D3D8275" w14:textId="77777777" w:rsidR="0093656E" w:rsidRPr="00CD71E6" w:rsidRDefault="0093656E" w:rsidP="0094062C">
      <w:pPr>
        <w:pStyle w:val="Default"/>
        <w:numPr>
          <w:ilvl w:val="0"/>
          <w:numId w:val="12"/>
        </w:numPr>
        <w:rPr>
          <w:sz w:val="22"/>
          <w:szCs w:val="22"/>
          <w:lang w:val="fr-CA"/>
        </w:rPr>
      </w:pPr>
      <w:r w:rsidRPr="00CD71E6">
        <w:rPr>
          <w:sz w:val="22"/>
          <w:szCs w:val="22"/>
          <w:lang w:val="fr-CA"/>
        </w:rPr>
        <w:t>Cadre supérieur</w:t>
      </w:r>
    </w:p>
    <w:p w14:paraId="2BC28711" w14:textId="77777777" w:rsidR="0093656E" w:rsidRPr="00CD71E6" w:rsidRDefault="0093656E" w:rsidP="0094062C">
      <w:pPr>
        <w:pStyle w:val="Default"/>
        <w:numPr>
          <w:ilvl w:val="0"/>
          <w:numId w:val="12"/>
        </w:numPr>
        <w:rPr>
          <w:sz w:val="22"/>
          <w:szCs w:val="22"/>
          <w:lang w:val="fr-CA"/>
        </w:rPr>
      </w:pPr>
      <w:r w:rsidRPr="00CD71E6">
        <w:rPr>
          <w:sz w:val="22"/>
          <w:szCs w:val="22"/>
          <w:lang w:val="fr-CA"/>
        </w:rPr>
        <w:t>Cadre intermédiaire</w:t>
      </w:r>
    </w:p>
    <w:p w14:paraId="60C4525E" w14:textId="77777777" w:rsidR="0093656E" w:rsidRPr="00CD71E6" w:rsidRDefault="0093656E" w:rsidP="0094062C">
      <w:pPr>
        <w:pStyle w:val="Default"/>
        <w:numPr>
          <w:ilvl w:val="0"/>
          <w:numId w:val="12"/>
        </w:numPr>
        <w:rPr>
          <w:sz w:val="22"/>
          <w:szCs w:val="22"/>
          <w:lang w:val="fr-CA"/>
        </w:rPr>
      </w:pPr>
      <w:r w:rsidRPr="00CD71E6">
        <w:rPr>
          <w:sz w:val="22"/>
          <w:szCs w:val="22"/>
          <w:lang w:val="fr-CA"/>
        </w:rPr>
        <w:t>Profession libérale</w:t>
      </w:r>
    </w:p>
    <w:p w14:paraId="6698CD04" w14:textId="77777777" w:rsidR="0093656E" w:rsidRPr="00CD71E6" w:rsidRDefault="0093656E" w:rsidP="0094062C">
      <w:pPr>
        <w:pStyle w:val="Default"/>
        <w:numPr>
          <w:ilvl w:val="0"/>
          <w:numId w:val="12"/>
        </w:numPr>
        <w:rPr>
          <w:sz w:val="22"/>
          <w:szCs w:val="22"/>
          <w:lang w:val="fr-CA"/>
        </w:rPr>
      </w:pPr>
      <w:r w:rsidRPr="00CD71E6">
        <w:rPr>
          <w:sz w:val="22"/>
          <w:szCs w:val="22"/>
          <w:lang w:val="fr-CA"/>
        </w:rPr>
        <w:t>Métier paraprofessionnel</w:t>
      </w:r>
    </w:p>
    <w:p w14:paraId="43AE6DBF" w14:textId="3DA69C8E" w:rsidR="0093656E" w:rsidRPr="00CD71E6" w:rsidRDefault="0093656E" w:rsidP="0094062C">
      <w:pPr>
        <w:pStyle w:val="Default"/>
        <w:numPr>
          <w:ilvl w:val="0"/>
          <w:numId w:val="12"/>
        </w:numPr>
        <w:spacing w:after="100"/>
        <w:rPr>
          <w:sz w:val="22"/>
          <w:szCs w:val="22"/>
          <w:lang w:val="fr-CA"/>
        </w:rPr>
      </w:pPr>
      <w:r w:rsidRPr="00CD71E6">
        <w:rPr>
          <w:sz w:val="22"/>
          <w:szCs w:val="22"/>
          <w:lang w:val="fr-CA"/>
        </w:rPr>
        <w:t>Soutien administratif</w:t>
      </w:r>
    </w:p>
    <w:p w14:paraId="15B5190C" w14:textId="798986AA" w:rsidR="0093656E" w:rsidRPr="00CD71E6" w:rsidRDefault="0093656E" w:rsidP="006E0989">
      <w:pPr>
        <w:rPr>
          <w:rFonts w:cs="Calibri"/>
          <w:color w:val="000000"/>
          <w:kern w:val="0"/>
          <w:szCs w:val="22"/>
          <w:lang w:val="fr-CA"/>
        </w:rPr>
      </w:pPr>
      <w:r w:rsidRPr="00CD71E6">
        <w:rPr>
          <w:rFonts w:cs="Calibri"/>
          <w:color w:val="000000"/>
          <w:kern w:val="0"/>
          <w:szCs w:val="22"/>
          <w:lang w:val="fr-CA"/>
        </w:rPr>
        <w:t>Le système fournit au gouvernement du Nunavut une méthode pour faire rapport des différents niveaux d’emploi au sein des ministères et des sociétés territoriales.</w:t>
      </w:r>
    </w:p>
    <w:p w14:paraId="7DC25276" w14:textId="4327662E" w:rsidR="00DE5535" w:rsidRDefault="0093656E" w:rsidP="006E0989">
      <w:pPr>
        <w:rPr>
          <w:rFonts w:cs="Calibri"/>
          <w:color w:val="000000"/>
          <w:kern w:val="0"/>
          <w:szCs w:val="22"/>
          <w:lang w:val="fr-CA"/>
        </w:rPr>
      </w:pPr>
      <w:r w:rsidRPr="00CD71E6">
        <w:rPr>
          <w:rFonts w:cs="Calibri"/>
          <w:color w:val="000000"/>
          <w:kern w:val="0"/>
          <w:szCs w:val="22"/>
          <w:lang w:val="fr-CA"/>
        </w:rPr>
        <w:t>Les tableaux suivants offrent une analyse plus approfondie de la capacité totale et des taux d’embauchage des Inuits au Collège par catégorie d’emploi entre 2013 et 2019.</w:t>
      </w:r>
    </w:p>
    <w:p w14:paraId="5987D551" w14:textId="77777777" w:rsidR="00DE5535" w:rsidRDefault="00DE5535">
      <w:pPr>
        <w:spacing w:after="200" w:line="276" w:lineRule="auto"/>
        <w:rPr>
          <w:rFonts w:cs="Calibri"/>
          <w:color w:val="000000"/>
          <w:kern w:val="0"/>
          <w:szCs w:val="22"/>
          <w:lang w:val="fr-CA"/>
        </w:rPr>
      </w:pPr>
      <w:r>
        <w:rPr>
          <w:rFonts w:cs="Calibri"/>
          <w:color w:val="000000"/>
          <w:kern w:val="0"/>
          <w:szCs w:val="22"/>
          <w:lang w:val="fr-CA"/>
        </w:rPr>
        <w:br w:type="page"/>
      </w:r>
    </w:p>
    <w:p w14:paraId="29A813C4" w14:textId="4C368225" w:rsidR="007D4FDA" w:rsidRPr="00CD71E6" w:rsidRDefault="007D4FDA" w:rsidP="007D4FDA">
      <w:pPr>
        <w:pStyle w:val="Heading3"/>
        <w:rPr>
          <w:lang w:val="fr-CA"/>
        </w:rPr>
      </w:pPr>
      <w:bookmarkStart w:id="36" w:name="_Toc41053695"/>
      <w:r w:rsidRPr="00CD71E6">
        <w:rPr>
          <w:bCs/>
          <w:lang w:val="fr-CA"/>
        </w:rPr>
        <w:lastRenderedPageBreak/>
        <w:t>Au 31 mars 2019</w:t>
      </w:r>
      <w:bookmarkEnd w:id="36"/>
    </w:p>
    <w:tbl>
      <w:tblPr>
        <w:tblW w:w="9600" w:type="dxa"/>
        <w:tblInd w:w="93" w:type="dxa"/>
        <w:tblLook w:val="04A0" w:firstRow="1" w:lastRow="0" w:firstColumn="1" w:lastColumn="0" w:noHBand="0" w:noVBand="1"/>
      </w:tblPr>
      <w:tblGrid>
        <w:gridCol w:w="1440"/>
        <w:gridCol w:w="1440"/>
        <w:gridCol w:w="1120"/>
        <w:gridCol w:w="1120"/>
        <w:gridCol w:w="1120"/>
        <w:gridCol w:w="1120"/>
        <w:gridCol w:w="1147"/>
        <w:gridCol w:w="1416"/>
      </w:tblGrid>
      <w:tr w:rsidR="007D4FDA" w:rsidRPr="00CD71E6" w14:paraId="26625D57" w14:textId="77777777" w:rsidTr="008D5107">
        <w:trPr>
          <w:trHeight w:val="300"/>
        </w:trPr>
        <w:tc>
          <w:tcPr>
            <w:tcW w:w="1440" w:type="dxa"/>
            <w:tcBorders>
              <w:top w:val="nil"/>
              <w:left w:val="nil"/>
              <w:bottom w:val="nil"/>
              <w:right w:val="nil"/>
            </w:tcBorders>
            <w:shd w:val="clear" w:color="auto" w:fill="auto"/>
            <w:noWrap/>
            <w:vAlign w:val="bottom"/>
            <w:hideMark/>
          </w:tcPr>
          <w:p w14:paraId="300B0837" w14:textId="77777777" w:rsidR="007D4FDA" w:rsidRPr="00CD71E6" w:rsidRDefault="007D4FDA" w:rsidP="008D5107">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324700CB" w14:textId="77777777" w:rsidR="007D4FDA" w:rsidRPr="00CD71E6" w:rsidRDefault="007D4FDA" w:rsidP="008D5107">
            <w:pPr>
              <w:spacing w:after="0" w:line="240" w:lineRule="auto"/>
              <w:rPr>
                <w:rFonts w:eastAsia="Times New Roman"/>
                <w:color w:val="000000"/>
                <w:kern w:val="0"/>
                <w:sz w:val="20"/>
                <w:lang w:val="fr-CA"/>
                <w14:ligatures w14:val="none"/>
              </w:rPr>
            </w:pPr>
          </w:p>
        </w:tc>
        <w:tc>
          <w:tcPr>
            <w:tcW w:w="4480" w:type="dxa"/>
            <w:gridSpan w:val="4"/>
            <w:tcBorders>
              <w:top w:val="nil"/>
              <w:left w:val="nil"/>
              <w:bottom w:val="nil"/>
              <w:right w:val="nil"/>
            </w:tcBorders>
            <w:shd w:val="clear" w:color="000000" w:fill="000000"/>
            <w:noWrap/>
            <w:vAlign w:val="center"/>
            <w:hideMark/>
          </w:tcPr>
          <w:p w14:paraId="68F64B47" w14:textId="77777777" w:rsidR="007D4FDA" w:rsidRPr="00CD71E6" w:rsidRDefault="007D4FDA" w:rsidP="008D5107">
            <w:pPr>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Nombre total de postes</w:t>
            </w:r>
          </w:p>
        </w:tc>
        <w:tc>
          <w:tcPr>
            <w:tcW w:w="2240" w:type="dxa"/>
            <w:gridSpan w:val="2"/>
            <w:tcBorders>
              <w:top w:val="nil"/>
              <w:left w:val="nil"/>
              <w:bottom w:val="nil"/>
              <w:right w:val="nil"/>
            </w:tcBorders>
            <w:shd w:val="clear" w:color="000000" w:fill="000000"/>
            <w:noWrap/>
            <w:vAlign w:val="center"/>
            <w:hideMark/>
          </w:tcPr>
          <w:p w14:paraId="4BB2D356" w14:textId="77777777" w:rsidR="007D4FDA" w:rsidRPr="00CD71E6" w:rsidRDefault="007D4FDA" w:rsidP="008D5107">
            <w:pPr>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Inuits</w:t>
            </w:r>
          </w:p>
        </w:tc>
      </w:tr>
      <w:tr w:rsidR="007D4FDA" w:rsidRPr="00CD71E6" w14:paraId="56C34DF4" w14:textId="77777777" w:rsidTr="008D5107">
        <w:trPr>
          <w:trHeight w:val="300"/>
        </w:trPr>
        <w:tc>
          <w:tcPr>
            <w:tcW w:w="1440" w:type="dxa"/>
            <w:tcBorders>
              <w:top w:val="nil"/>
              <w:left w:val="nil"/>
              <w:bottom w:val="nil"/>
              <w:right w:val="nil"/>
            </w:tcBorders>
            <w:shd w:val="clear" w:color="auto" w:fill="auto"/>
            <w:noWrap/>
            <w:vAlign w:val="bottom"/>
            <w:hideMark/>
          </w:tcPr>
          <w:p w14:paraId="26A396F1" w14:textId="77777777" w:rsidR="007D4FDA" w:rsidRPr="00CD71E6" w:rsidRDefault="007D4FDA" w:rsidP="008D5107">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6CE26833" w14:textId="77777777" w:rsidR="007D4FDA" w:rsidRPr="00CD71E6" w:rsidRDefault="007D4FDA" w:rsidP="008D5107">
            <w:pPr>
              <w:spacing w:after="0" w:line="240" w:lineRule="auto"/>
              <w:rPr>
                <w:rFonts w:eastAsia="Times New Roman"/>
                <w:color w:val="000000"/>
                <w:kern w:val="0"/>
                <w:sz w:val="20"/>
                <w:lang w:val="fr-CA"/>
                <w14:ligatures w14:val="none"/>
              </w:rPr>
            </w:pPr>
          </w:p>
        </w:tc>
        <w:tc>
          <w:tcPr>
            <w:tcW w:w="1120" w:type="dxa"/>
            <w:vMerge w:val="restart"/>
            <w:tcBorders>
              <w:top w:val="nil"/>
              <w:left w:val="nil"/>
              <w:bottom w:val="nil"/>
              <w:right w:val="nil"/>
            </w:tcBorders>
            <w:shd w:val="clear" w:color="000000" w:fill="000000"/>
            <w:vAlign w:val="bottom"/>
            <w:hideMark/>
          </w:tcPr>
          <w:p w14:paraId="44C465C3" w14:textId="77777777" w:rsidR="007D4FDA" w:rsidRPr="00CD71E6" w:rsidRDefault="007D4FDA" w:rsidP="008D5107">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Nombre total de postes</w:t>
            </w:r>
          </w:p>
        </w:tc>
        <w:tc>
          <w:tcPr>
            <w:tcW w:w="1120" w:type="dxa"/>
            <w:vMerge w:val="restart"/>
            <w:tcBorders>
              <w:top w:val="nil"/>
              <w:left w:val="nil"/>
              <w:bottom w:val="nil"/>
              <w:right w:val="nil"/>
            </w:tcBorders>
            <w:shd w:val="clear" w:color="000000" w:fill="000000"/>
            <w:vAlign w:val="bottom"/>
            <w:hideMark/>
          </w:tcPr>
          <w:p w14:paraId="3D80BFC8" w14:textId="77777777" w:rsidR="007D4FDA" w:rsidRPr="00CD71E6" w:rsidRDefault="007D4FDA" w:rsidP="008D5107">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vacants</w:t>
            </w:r>
          </w:p>
        </w:tc>
        <w:tc>
          <w:tcPr>
            <w:tcW w:w="1120" w:type="dxa"/>
            <w:vMerge w:val="restart"/>
            <w:tcBorders>
              <w:top w:val="nil"/>
              <w:left w:val="nil"/>
              <w:bottom w:val="single" w:sz="8" w:space="0" w:color="000000"/>
              <w:right w:val="nil"/>
            </w:tcBorders>
            <w:shd w:val="clear" w:color="000000" w:fill="000000"/>
            <w:vAlign w:val="bottom"/>
            <w:hideMark/>
          </w:tcPr>
          <w:p w14:paraId="0F4A429C" w14:textId="77777777" w:rsidR="007D4FDA" w:rsidRPr="00CD71E6" w:rsidRDefault="007D4FDA" w:rsidP="008D5107">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pourvus</w:t>
            </w:r>
          </w:p>
        </w:tc>
        <w:tc>
          <w:tcPr>
            <w:tcW w:w="1120" w:type="dxa"/>
            <w:vMerge w:val="restart"/>
            <w:tcBorders>
              <w:top w:val="nil"/>
              <w:left w:val="nil"/>
              <w:bottom w:val="single" w:sz="8" w:space="0" w:color="000000"/>
              <w:right w:val="nil"/>
            </w:tcBorders>
            <w:shd w:val="clear" w:color="000000" w:fill="000000"/>
            <w:vAlign w:val="bottom"/>
            <w:hideMark/>
          </w:tcPr>
          <w:p w14:paraId="2EEA242E" w14:textId="77777777" w:rsidR="007D4FDA" w:rsidRPr="00CD71E6" w:rsidRDefault="007D4FDA" w:rsidP="008D5107">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de la capacité</w:t>
            </w:r>
          </w:p>
        </w:tc>
        <w:tc>
          <w:tcPr>
            <w:tcW w:w="1120" w:type="dxa"/>
            <w:tcBorders>
              <w:top w:val="nil"/>
              <w:left w:val="nil"/>
              <w:bottom w:val="nil"/>
              <w:right w:val="nil"/>
            </w:tcBorders>
            <w:shd w:val="clear" w:color="000000" w:fill="000000"/>
            <w:vAlign w:val="center"/>
            <w:hideMark/>
          </w:tcPr>
          <w:p w14:paraId="677AB374" w14:textId="77777777" w:rsidR="007D4FDA" w:rsidRPr="00CD71E6" w:rsidRDefault="007D4FDA" w:rsidP="008D5107">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c>
          <w:tcPr>
            <w:tcW w:w="1120" w:type="dxa"/>
            <w:tcBorders>
              <w:top w:val="nil"/>
              <w:left w:val="nil"/>
              <w:bottom w:val="nil"/>
              <w:right w:val="nil"/>
            </w:tcBorders>
            <w:shd w:val="clear" w:color="000000" w:fill="000000"/>
            <w:vAlign w:val="center"/>
            <w:hideMark/>
          </w:tcPr>
          <w:p w14:paraId="69435290" w14:textId="77777777" w:rsidR="007D4FDA" w:rsidRPr="00CD71E6" w:rsidRDefault="007D4FDA" w:rsidP="008D5107">
            <w:pPr>
              <w:spacing w:after="0" w:line="240" w:lineRule="auto"/>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r>
      <w:tr w:rsidR="007D4FDA" w:rsidRPr="004373E7" w14:paraId="6D9135EE" w14:textId="77777777" w:rsidTr="00B01B52">
        <w:trPr>
          <w:trHeight w:val="315"/>
        </w:trPr>
        <w:tc>
          <w:tcPr>
            <w:tcW w:w="1440" w:type="dxa"/>
            <w:tcBorders>
              <w:top w:val="nil"/>
              <w:left w:val="nil"/>
              <w:bottom w:val="nil"/>
              <w:right w:val="nil"/>
            </w:tcBorders>
            <w:shd w:val="clear" w:color="auto" w:fill="auto"/>
            <w:noWrap/>
            <w:vAlign w:val="bottom"/>
            <w:hideMark/>
          </w:tcPr>
          <w:p w14:paraId="1D927C35" w14:textId="77777777" w:rsidR="007D4FDA" w:rsidRPr="00CD71E6" w:rsidRDefault="007D4FDA" w:rsidP="008D5107">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17B3CCAE" w14:textId="77777777" w:rsidR="007D4FDA" w:rsidRPr="00CD71E6" w:rsidRDefault="007D4FDA" w:rsidP="008D5107">
            <w:pPr>
              <w:spacing w:after="0" w:line="240" w:lineRule="auto"/>
              <w:rPr>
                <w:rFonts w:eastAsia="Times New Roman"/>
                <w:color w:val="000000"/>
                <w:kern w:val="0"/>
                <w:sz w:val="20"/>
                <w:lang w:val="fr-CA"/>
                <w14:ligatures w14:val="none"/>
              </w:rPr>
            </w:pPr>
          </w:p>
        </w:tc>
        <w:tc>
          <w:tcPr>
            <w:tcW w:w="1120" w:type="dxa"/>
            <w:vMerge/>
            <w:tcBorders>
              <w:top w:val="nil"/>
              <w:left w:val="nil"/>
              <w:bottom w:val="nil"/>
              <w:right w:val="nil"/>
            </w:tcBorders>
            <w:vAlign w:val="center"/>
            <w:hideMark/>
          </w:tcPr>
          <w:p w14:paraId="67BFF75D" w14:textId="77777777" w:rsidR="007D4FDA" w:rsidRPr="00CD71E6" w:rsidRDefault="007D4FDA" w:rsidP="008D5107">
            <w:pPr>
              <w:spacing w:after="0" w:line="240" w:lineRule="auto"/>
              <w:rPr>
                <w:rFonts w:eastAsia="Times New Roman"/>
                <w:color w:val="FFFFFF"/>
                <w:kern w:val="0"/>
                <w:sz w:val="20"/>
                <w:lang w:val="fr-CA"/>
                <w14:ligatures w14:val="none"/>
              </w:rPr>
            </w:pPr>
          </w:p>
        </w:tc>
        <w:tc>
          <w:tcPr>
            <w:tcW w:w="1120" w:type="dxa"/>
            <w:vMerge/>
            <w:tcBorders>
              <w:top w:val="nil"/>
              <w:left w:val="nil"/>
              <w:bottom w:val="nil"/>
              <w:right w:val="nil"/>
            </w:tcBorders>
            <w:vAlign w:val="center"/>
            <w:hideMark/>
          </w:tcPr>
          <w:p w14:paraId="4A81A7EA" w14:textId="77777777" w:rsidR="007D4FDA" w:rsidRPr="00CD71E6" w:rsidRDefault="007D4FDA" w:rsidP="008D5107">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6B13A2E2" w14:textId="77777777" w:rsidR="007D4FDA" w:rsidRPr="00CD71E6" w:rsidRDefault="007D4FDA" w:rsidP="008D5107">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6B5CA100" w14:textId="77777777" w:rsidR="007D4FDA" w:rsidRPr="00CD71E6" w:rsidRDefault="007D4FDA" w:rsidP="008D5107">
            <w:pPr>
              <w:spacing w:after="0" w:line="240" w:lineRule="auto"/>
              <w:rPr>
                <w:rFonts w:eastAsia="Times New Roman"/>
                <w:color w:val="FFFFFF"/>
                <w:kern w:val="0"/>
                <w:sz w:val="20"/>
                <w:lang w:val="fr-CA"/>
                <w14:ligatures w14:val="none"/>
              </w:rPr>
            </w:pPr>
          </w:p>
        </w:tc>
        <w:tc>
          <w:tcPr>
            <w:tcW w:w="1120" w:type="dxa"/>
            <w:tcBorders>
              <w:top w:val="nil"/>
              <w:left w:val="nil"/>
              <w:bottom w:val="nil"/>
              <w:right w:val="nil"/>
            </w:tcBorders>
            <w:shd w:val="clear" w:color="000000" w:fill="000000"/>
            <w:vAlign w:val="bottom"/>
            <w:hideMark/>
          </w:tcPr>
          <w:p w14:paraId="5B99623A" w14:textId="77777777" w:rsidR="007D4FDA" w:rsidRPr="00CD71E6" w:rsidRDefault="007D4FDA" w:rsidP="000B2E62">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Embauchés</w:t>
            </w:r>
          </w:p>
        </w:tc>
        <w:tc>
          <w:tcPr>
            <w:tcW w:w="1120" w:type="dxa"/>
            <w:tcBorders>
              <w:top w:val="nil"/>
              <w:left w:val="nil"/>
              <w:bottom w:val="single" w:sz="8" w:space="0" w:color="auto"/>
              <w:right w:val="nil"/>
            </w:tcBorders>
            <w:shd w:val="clear" w:color="000000" w:fill="000000"/>
            <w:vAlign w:val="center"/>
            <w:hideMark/>
          </w:tcPr>
          <w:p w14:paraId="265A3432" w14:textId="77777777" w:rsidR="007D4FDA" w:rsidRPr="00CD71E6" w:rsidRDefault="007D4FDA" w:rsidP="008D5107">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du plan d’embauchage des Inuits</w:t>
            </w:r>
          </w:p>
        </w:tc>
      </w:tr>
      <w:tr w:rsidR="007D4FDA" w:rsidRPr="00CD71E6" w14:paraId="71127DDB" w14:textId="77777777" w:rsidTr="008D5107">
        <w:trPr>
          <w:trHeight w:val="300"/>
        </w:trPr>
        <w:tc>
          <w:tcPr>
            <w:tcW w:w="2880" w:type="dxa"/>
            <w:gridSpan w:val="2"/>
            <w:tcBorders>
              <w:top w:val="nil"/>
              <w:left w:val="nil"/>
              <w:bottom w:val="nil"/>
              <w:right w:val="nil"/>
            </w:tcBorders>
            <w:shd w:val="clear" w:color="auto" w:fill="auto"/>
            <w:noWrap/>
            <w:vAlign w:val="center"/>
            <w:hideMark/>
          </w:tcPr>
          <w:p w14:paraId="76CEEE82" w14:textId="77777777" w:rsidR="007D4FDA" w:rsidRPr="00CD71E6" w:rsidRDefault="007D4FDA" w:rsidP="008D5107">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direction</w:t>
            </w:r>
          </w:p>
        </w:tc>
        <w:tc>
          <w:tcPr>
            <w:tcW w:w="1120" w:type="dxa"/>
            <w:tcBorders>
              <w:top w:val="single" w:sz="8" w:space="0" w:color="auto"/>
              <w:left w:val="nil"/>
              <w:bottom w:val="nil"/>
              <w:right w:val="nil"/>
            </w:tcBorders>
            <w:shd w:val="clear" w:color="auto" w:fill="auto"/>
            <w:noWrap/>
            <w:vAlign w:val="center"/>
            <w:hideMark/>
          </w:tcPr>
          <w:p w14:paraId="7BA0E596" w14:textId="77777777"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single" w:sz="8" w:space="0" w:color="auto"/>
              <w:left w:val="nil"/>
              <w:bottom w:val="nil"/>
              <w:right w:val="nil"/>
            </w:tcBorders>
            <w:shd w:val="clear" w:color="auto" w:fill="auto"/>
            <w:noWrap/>
            <w:vAlign w:val="center"/>
            <w:hideMark/>
          </w:tcPr>
          <w:p w14:paraId="6694AF24" w14:textId="77777777"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0,0</w:t>
            </w:r>
          </w:p>
        </w:tc>
        <w:tc>
          <w:tcPr>
            <w:tcW w:w="1120" w:type="dxa"/>
            <w:tcBorders>
              <w:top w:val="nil"/>
              <w:left w:val="nil"/>
              <w:bottom w:val="nil"/>
              <w:right w:val="nil"/>
            </w:tcBorders>
            <w:shd w:val="clear" w:color="auto" w:fill="auto"/>
            <w:noWrap/>
            <w:vAlign w:val="center"/>
            <w:hideMark/>
          </w:tcPr>
          <w:p w14:paraId="710FD776" w14:textId="77777777"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nil"/>
              <w:left w:val="nil"/>
              <w:bottom w:val="nil"/>
              <w:right w:val="nil"/>
            </w:tcBorders>
            <w:shd w:val="clear" w:color="auto" w:fill="auto"/>
            <w:noWrap/>
            <w:vAlign w:val="center"/>
            <w:hideMark/>
          </w:tcPr>
          <w:p w14:paraId="07C9AC7A" w14:textId="77777777"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c>
          <w:tcPr>
            <w:tcW w:w="1120" w:type="dxa"/>
            <w:tcBorders>
              <w:top w:val="single" w:sz="8" w:space="0" w:color="auto"/>
              <w:left w:val="nil"/>
              <w:bottom w:val="nil"/>
              <w:right w:val="nil"/>
            </w:tcBorders>
            <w:shd w:val="clear" w:color="auto" w:fill="auto"/>
            <w:noWrap/>
            <w:vAlign w:val="center"/>
            <w:hideMark/>
          </w:tcPr>
          <w:p w14:paraId="5EEA794B" w14:textId="77777777"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w:t>
            </w:r>
          </w:p>
        </w:tc>
        <w:tc>
          <w:tcPr>
            <w:tcW w:w="1120" w:type="dxa"/>
            <w:tcBorders>
              <w:top w:val="nil"/>
              <w:left w:val="nil"/>
              <w:bottom w:val="nil"/>
              <w:right w:val="nil"/>
            </w:tcBorders>
            <w:shd w:val="clear" w:color="auto" w:fill="auto"/>
            <w:noWrap/>
            <w:vAlign w:val="center"/>
            <w:hideMark/>
          </w:tcPr>
          <w:p w14:paraId="643C1C31" w14:textId="77777777"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50 %</w:t>
            </w:r>
          </w:p>
        </w:tc>
      </w:tr>
      <w:tr w:rsidR="007D4FDA" w:rsidRPr="00CD71E6" w14:paraId="2EAF1FE8" w14:textId="77777777" w:rsidTr="008D5107">
        <w:trPr>
          <w:trHeight w:val="300"/>
        </w:trPr>
        <w:tc>
          <w:tcPr>
            <w:tcW w:w="2880" w:type="dxa"/>
            <w:gridSpan w:val="2"/>
            <w:tcBorders>
              <w:top w:val="nil"/>
              <w:left w:val="nil"/>
              <w:bottom w:val="nil"/>
              <w:right w:val="nil"/>
            </w:tcBorders>
            <w:shd w:val="clear" w:color="auto" w:fill="auto"/>
            <w:noWrap/>
            <w:vAlign w:val="center"/>
            <w:hideMark/>
          </w:tcPr>
          <w:p w14:paraId="6D7336A3" w14:textId="77777777" w:rsidR="007D4FDA" w:rsidRPr="00CD71E6" w:rsidRDefault="007D4FDA" w:rsidP="008D5107">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supérieurs</w:t>
            </w:r>
          </w:p>
        </w:tc>
        <w:tc>
          <w:tcPr>
            <w:tcW w:w="1120" w:type="dxa"/>
            <w:tcBorders>
              <w:top w:val="nil"/>
              <w:left w:val="nil"/>
              <w:bottom w:val="nil"/>
              <w:right w:val="nil"/>
            </w:tcBorders>
            <w:shd w:val="clear" w:color="auto" w:fill="auto"/>
            <w:noWrap/>
            <w:vAlign w:val="center"/>
            <w:hideMark/>
          </w:tcPr>
          <w:p w14:paraId="7804039F" w14:textId="6F9C4F4B"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8,0</w:t>
            </w:r>
          </w:p>
        </w:tc>
        <w:tc>
          <w:tcPr>
            <w:tcW w:w="1120" w:type="dxa"/>
            <w:tcBorders>
              <w:top w:val="nil"/>
              <w:left w:val="nil"/>
              <w:bottom w:val="nil"/>
              <w:right w:val="nil"/>
            </w:tcBorders>
            <w:shd w:val="clear" w:color="auto" w:fill="auto"/>
            <w:noWrap/>
            <w:vAlign w:val="center"/>
            <w:hideMark/>
          </w:tcPr>
          <w:p w14:paraId="4D0BE711" w14:textId="27338375"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w:t>
            </w:r>
          </w:p>
        </w:tc>
        <w:tc>
          <w:tcPr>
            <w:tcW w:w="1120" w:type="dxa"/>
            <w:tcBorders>
              <w:top w:val="nil"/>
              <w:left w:val="nil"/>
              <w:bottom w:val="nil"/>
              <w:right w:val="nil"/>
            </w:tcBorders>
            <w:shd w:val="clear" w:color="auto" w:fill="auto"/>
            <w:noWrap/>
            <w:vAlign w:val="center"/>
            <w:hideMark/>
          </w:tcPr>
          <w:p w14:paraId="5CAC5E33" w14:textId="062740C9"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w:t>
            </w:r>
          </w:p>
        </w:tc>
        <w:tc>
          <w:tcPr>
            <w:tcW w:w="1120" w:type="dxa"/>
            <w:tcBorders>
              <w:top w:val="nil"/>
              <w:left w:val="nil"/>
              <w:bottom w:val="nil"/>
              <w:right w:val="nil"/>
            </w:tcBorders>
            <w:shd w:val="clear" w:color="auto" w:fill="auto"/>
            <w:noWrap/>
            <w:vAlign w:val="center"/>
            <w:hideMark/>
          </w:tcPr>
          <w:p w14:paraId="5BA6C15D" w14:textId="20467CE6"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88 %</w:t>
            </w:r>
          </w:p>
        </w:tc>
        <w:tc>
          <w:tcPr>
            <w:tcW w:w="1120" w:type="dxa"/>
            <w:tcBorders>
              <w:top w:val="nil"/>
              <w:left w:val="nil"/>
              <w:bottom w:val="nil"/>
              <w:right w:val="nil"/>
            </w:tcBorders>
            <w:shd w:val="clear" w:color="auto" w:fill="auto"/>
            <w:noWrap/>
            <w:vAlign w:val="center"/>
            <w:hideMark/>
          </w:tcPr>
          <w:p w14:paraId="2754E9C6" w14:textId="77777777"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nil"/>
              <w:left w:val="nil"/>
              <w:bottom w:val="nil"/>
              <w:right w:val="nil"/>
            </w:tcBorders>
            <w:shd w:val="clear" w:color="auto" w:fill="auto"/>
            <w:noWrap/>
            <w:vAlign w:val="center"/>
            <w:hideMark/>
          </w:tcPr>
          <w:p w14:paraId="7F99145D" w14:textId="481B8829"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29 %</w:t>
            </w:r>
          </w:p>
        </w:tc>
      </w:tr>
      <w:tr w:rsidR="007D4FDA" w:rsidRPr="00CD71E6" w14:paraId="1DDC09A5" w14:textId="77777777" w:rsidTr="008D5107">
        <w:trPr>
          <w:trHeight w:val="300"/>
        </w:trPr>
        <w:tc>
          <w:tcPr>
            <w:tcW w:w="2880" w:type="dxa"/>
            <w:gridSpan w:val="2"/>
            <w:tcBorders>
              <w:top w:val="nil"/>
              <w:left w:val="nil"/>
              <w:bottom w:val="nil"/>
              <w:right w:val="nil"/>
            </w:tcBorders>
            <w:shd w:val="clear" w:color="auto" w:fill="auto"/>
            <w:noWrap/>
            <w:vAlign w:val="center"/>
            <w:hideMark/>
          </w:tcPr>
          <w:p w14:paraId="0F67E552" w14:textId="77777777" w:rsidR="007D4FDA" w:rsidRPr="00CD71E6" w:rsidRDefault="007D4FDA" w:rsidP="008D5107">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intermédiaires</w:t>
            </w:r>
          </w:p>
        </w:tc>
        <w:tc>
          <w:tcPr>
            <w:tcW w:w="1120" w:type="dxa"/>
            <w:tcBorders>
              <w:top w:val="nil"/>
              <w:left w:val="nil"/>
              <w:bottom w:val="nil"/>
              <w:right w:val="nil"/>
            </w:tcBorders>
            <w:shd w:val="clear" w:color="auto" w:fill="auto"/>
            <w:noWrap/>
            <w:vAlign w:val="center"/>
            <w:hideMark/>
          </w:tcPr>
          <w:p w14:paraId="1FD52CB2" w14:textId="004FF3D8"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24,0</w:t>
            </w:r>
          </w:p>
        </w:tc>
        <w:tc>
          <w:tcPr>
            <w:tcW w:w="1120" w:type="dxa"/>
            <w:tcBorders>
              <w:top w:val="nil"/>
              <w:left w:val="nil"/>
              <w:bottom w:val="nil"/>
              <w:right w:val="nil"/>
            </w:tcBorders>
            <w:shd w:val="clear" w:color="auto" w:fill="auto"/>
            <w:noWrap/>
            <w:vAlign w:val="center"/>
            <w:hideMark/>
          </w:tcPr>
          <w:p w14:paraId="50205B17" w14:textId="7EF8EEC4"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3,0</w:t>
            </w:r>
          </w:p>
        </w:tc>
        <w:tc>
          <w:tcPr>
            <w:tcW w:w="1120" w:type="dxa"/>
            <w:tcBorders>
              <w:top w:val="nil"/>
              <w:left w:val="nil"/>
              <w:bottom w:val="nil"/>
              <w:right w:val="nil"/>
            </w:tcBorders>
            <w:shd w:val="clear" w:color="auto" w:fill="auto"/>
            <w:noWrap/>
            <w:vAlign w:val="center"/>
            <w:hideMark/>
          </w:tcPr>
          <w:p w14:paraId="04536491" w14:textId="77777777"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21</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0E45AEAC" w14:textId="60BDF359"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88</w:t>
            </w:r>
            <w:r w:rsidRPr="00CD71E6">
              <w:rPr>
                <w:rFonts w:eastAsia="Times New Roman"/>
                <w:color w:val="000000"/>
                <w:kern w:val="0"/>
                <w:sz w:val="20"/>
                <w:lang w:val="fr-CA"/>
                <w14:ligatures w14:val="none"/>
              </w:rPr>
              <w:t xml:space="preserve"> %</w:t>
            </w:r>
          </w:p>
        </w:tc>
        <w:tc>
          <w:tcPr>
            <w:tcW w:w="1120" w:type="dxa"/>
            <w:tcBorders>
              <w:top w:val="nil"/>
              <w:left w:val="nil"/>
              <w:bottom w:val="nil"/>
              <w:right w:val="nil"/>
            </w:tcBorders>
            <w:shd w:val="clear" w:color="auto" w:fill="auto"/>
            <w:noWrap/>
            <w:vAlign w:val="center"/>
            <w:hideMark/>
          </w:tcPr>
          <w:p w14:paraId="224AC577" w14:textId="606088FE"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w:t>
            </w:r>
          </w:p>
        </w:tc>
        <w:tc>
          <w:tcPr>
            <w:tcW w:w="1120" w:type="dxa"/>
            <w:tcBorders>
              <w:top w:val="nil"/>
              <w:left w:val="nil"/>
              <w:bottom w:val="nil"/>
              <w:right w:val="nil"/>
            </w:tcBorders>
            <w:shd w:val="clear" w:color="auto" w:fill="auto"/>
            <w:noWrap/>
            <w:vAlign w:val="center"/>
            <w:hideMark/>
          </w:tcPr>
          <w:p w14:paraId="29863CED" w14:textId="2E472F43"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48</w:t>
            </w:r>
            <w:r w:rsidRPr="00CD71E6">
              <w:rPr>
                <w:rFonts w:eastAsia="Times New Roman"/>
                <w:color w:val="000000"/>
                <w:kern w:val="0"/>
                <w:sz w:val="20"/>
                <w:lang w:val="fr-CA"/>
                <w14:ligatures w14:val="none"/>
              </w:rPr>
              <w:t xml:space="preserve"> %</w:t>
            </w:r>
          </w:p>
        </w:tc>
      </w:tr>
      <w:tr w:rsidR="007D4FDA" w:rsidRPr="00CD71E6" w14:paraId="18ECC180" w14:textId="77777777" w:rsidTr="008D5107">
        <w:trPr>
          <w:trHeight w:val="300"/>
        </w:trPr>
        <w:tc>
          <w:tcPr>
            <w:tcW w:w="2880" w:type="dxa"/>
            <w:gridSpan w:val="2"/>
            <w:tcBorders>
              <w:top w:val="nil"/>
              <w:left w:val="nil"/>
              <w:bottom w:val="nil"/>
              <w:right w:val="nil"/>
            </w:tcBorders>
            <w:shd w:val="clear" w:color="auto" w:fill="auto"/>
            <w:noWrap/>
            <w:vAlign w:val="center"/>
            <w:hideMark/>
          </w:tcPr>
          <w:p w14:paraId="1D6AC59A" w14:textId="77777777" w:rsidR="007D4FDA" w:rsidRPr="00CD71E6" w:rsidRDefault="007D4FDA" w:rsidP="008D5107">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professionnels</w:t>
            </w:r>
          </w:p>
        </w:tc>
        <w:tc>
          <w:tcPr>
            <w:tcW w:w="1120" w:type="dxa"/>
            <w:tcBorders>
              <w:top w:val="nil"/>
              <w:left w:val="nil"/>
              <w:bottom w:val="nil"/>
              <w:right w:val="nil"/>
            </w:tcBorders>
            <w:shd w:val="clear" w:color="auto" w:fill="auto"/>
            <w:noWrap/>
            <w:vAlign w:val="center"/>
            <w:hideMark/>
          </w:tcPr>
          <w:p w14:paraId="242B6370" w14:textId="698D455A"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131</w:t>
            </w:r>
            <w:r w:rsidRPr="00CD71E6">
              <w:rPr>
                <w:rFonts w:eastAsia="Times New Roman"/>
                <w:color w:val="000000"/>
                <w:sz w:val="20"/>
                <w:lang w:val="fr-CA"/>
              </w:rPr>
              <w:t>,6</w:t>
            </w:r>
          </w:p>
        </w:tc>
        <w:tc>
          <w:tcPr>
            <w:tcW w:w="1120" w:type="dxa"/>
            <w:tcBorders>
              <w:top w:val="nil"/>
              <w:left w:val="nil"/>
              <w:bottom w:val="nil"/>
              <w:right w:val="nil"/>
            </w:tcBorders>
            <w:shd w:val="clear" w:color="auto" w:fill="auto"/>
            <w:noWrap/>
            <w:vAlign w:val="center"/>
            <w:hideMark/>
          </w:tcPr>
          <w:p w14:paraId="2F9285E6" w14:textId="20EE0945"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41</w:t>
            </w:r>
            <w:r w:rsidRPr="00CD71E6">
              <w:rPr>
                <w:rFonts w:eastAsia="Times New Roman"/>
                <w:color w:val="000000"/>
                <w:kern w:val="0"/>
                <w:sz w:val="20"/>
                <w:lang w:val="fr-CA"/>
                <w14:ligatures w14:val="none"/>
              </w:rPr>
              <w:t>,6</w:t>
            </w:r>
          </w:p>
        </w:tc>
        <w:tc>
          <w:tcPr>
            <w:tcW w:w="1120" w:type="dxa"/>
            <w:tcBorders>
              <w:top w:val="nil"/>
              <w:left w:val="nil"/>
              <w:bottom w:val="nil"/>
              <w:right w:val="nil"/>
            </w:tcBorders>
            <w:shd w:val="clear" w:color="auto" w:fill="auto"/>
            <w:noWrap/>
            <w:vAlign w:val="center"/>
            <w:hideMark/>
          </w:tcPr>
          <w:p w14:paraId="2327839A" w14:textId="641F217B"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90,0</w:t>
            </w:r>
          </w:p>
        </w:tc>
        <w:tc>
          <w:tcPr>
            <w:tcW w:w="1120" w:type="dxa"/>
            <w:tcBorders>
              <w:top w:val="nil"/>
              <w:left w:val="nil"/>
              <w:bottom w:val="nil"/>
              <w:right w:val="nil"/>
            </w:tcBorders>
            <w:shd w:val="clear" w:color="auto" w:fill="auto"/>
            <w:noWrap/>
            <w:vAlign w:val="center"/>
            <w:hideMark/>
          </w:tcPr>
          <w:p w14:paraId="3DF06384" w14:textId="4F91965A"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68 %</w:t>
            </w:r>
          </w:p>
        </w:tc>
        <w:tc>
          <w:tcPr>
            <w:tcW w:w="1120" w:type="dxa"/>
            <w:tcBorders>
              <w:top w:val="nil"/>
              <w:left w:val="nil"/>
              <w:bottom w:val="nil"/>
              <w:right w:val="nil"/>
            </w:tcBorders>
            <w:shd w:val="clear" w:color="auto" w:fill="auto"/>
            <w:noWrap/>
            <w:vAlign w:val="center"/>
            <w:hideMark/>
          </w:tcPr>
          <w:p w14:paraId="4A269E1D" w14:textId="734E1667"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35,0</w:t>
            </w:r>
          </w:p>
        </w:tc>
        <w:tc>
          <w:tcPr>
            <w:tcW w:w="1120" w:type="dxa"/>
            <w:tcBorders>
              <w:top w:val="nil"/>
              <w:left w:val="nil"/>
              <w:bottom w:val="nil"/>
              <w:right w:val="nil"/>
            </w:tcBorders>
            <w:shd w:val="clear" w:color="auto" w:fill="auto"/>
            <w:noWrap/>
            <w:vAlign w:val="center"/>
            <w:hideMark/>
          </w:tcPr>
          <w:p w14:paraId="468C8C3C" w14:textId="1AAFE606"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39 %</w:t>
            </w:r>
          </w:p>
        </w:tc>
      </w:tr>
      <w:tr w:rsidR="007D4FDA" w:rsidRPr="00CD71E6" w14:paraId="1E465689" w14:textId="77777777" w:rsidTr="008D5107">
        <w:trPr>
          <w:trHeight w:val="300"/>
        </w:trPr>
        <w:tc>
          <w:tcPr>
            <w:tcW w:w="2880" w:type="dxa"/>
            <w:gridSpan w:val="2"/>
            <w:tcBorders>
              <w:top w:val="nil"/>
              <w:left w:val="nil"/>
              <w:bottom w:val="nil"/>
              <w:right w:val="nil"/>
            </w:tcBorders>
            <w:shd w:val="clear" w:color="auto" w:fill="auto"/>
            <w:noWrap/>
            <w:vAlign w:val="center"/>
            <w:hideMark/>
          </w:tcPr>
          <w:p w14:paraId="4DC80DF6" w14:textId="77777777" w:rsidR="007D4FDA" w:rsidRPr="00CD71E6" w:rsidRDefault="007D4FDA" w:rsidP="008D5107">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paraprofessionnels</w:t>
            </w:r>
          </w:p>
        </w:tc>
        <w:tc>
          <w:tcPr>
            <w:tcW w:w="1120" w:type="dxa"/>
            <w:tcBorders>
              <w:top w:val="nil"/>
              <w:left w:val="nil"/>
              <w:bottom w:val="nil"/>
              <w:right w:val="nil"/>
            </w:tcBorders>
            <w:shd w:val="clear" w:color="auto" w:fill="auto"/>
            <w:noWrap/>
            <w:vAlign w:val="center"/>
            <w:hideMark/>
          </w:tcPr>
          <w:p w14:paraId="0ECC74A1" w14:textId="06B11DA6"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24,5</w:t>
            </w:r>
          </w:p>
        </w:tc>
        <w:tc>
          <w:tcPr>
            <w:tcW w:w="1120" w:type="dxa"/>
            <w:tcBorders>
              <w:top w:val="nil"/>
              <w:left w:val="nil"/>
              <w:bottom w:val="nil"/>
              <w:right w:val="nil"/>
            </w:tcBorders>
            <w:shd w:val="clear" w:color="auto" w:fill="auto"/>
            <w:noWrap/>
            <w:vAlign w:val="center"/>
            <w:hideMark/>
          </w:tcPr>
          <w:p w14:paraId="54A30B4B" w14:textId="26C2785E"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11,</w:t>
            </w:r>
            <w:r w:rsidRPr="00CD71E6">
              <w:rPr>
                <w:rFonts w:eastAsia="Times New Roman"/>
                <w:color w:val="000000"/>
                <w:kern w:val="0"/>
                <w:sz w:val="20"/>
                <w:lang w:val="fr-CA"/>
                <w14:ligatures w14:val="none"/>
              </w:rPr>
              <w:t>5</w:t>
            </w:r>
          </w:p>
        </w:tc>
        <w:tc>
          <w:tcPr>
            <w:tcW w:w="1120" w:type="dxa"/>
            <w:tcBorders>
              <w:top w:val="nil"/>
              <w:left w:val="nil"/>
              <w:bottom w:val="nil"/>
              <w:right w:val="nil"/>
            </w:tcBorders>
            <w:shd w:val="clear" w:color="auto" w:fill="auto"/>
            <w:noWrap/>
            <w:vAlign w:val="center"/>
            <w:hideMark/>
          </w:tcPr>
          <w:p w14:paraId="0DF52F0A" w14:textId="514C73BB"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13,0</w:t>
            </w:r>
          </w:p>
        </w:tc>
        <w:tc>
          <w:tcPr>
            <w:tcW w:w="1120" w:type="dxa"/>
            <w:tcBorders>
              <w:top w:val="nil"/>
              <w:left w:val="nil"/>
              <w:bottom w:val="nil"/>
              <w:right w:val="nil"/>
            </w:tcBorders>
            <w:shd w:val="clear" w:color="auto" w:fill="auto"/>
            <w:noWrap/>
            <w:vAlign w:val="center"/>
            <w:hideMark/>
          </w:tcPr>
          <w:p w14:paraId="121A509A" w14:textId="601F1FCE"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53 %</w:t>
            </w:r>
          </w:p>
        </w:tc>
        <w:tc>
          <w:tcPr>
            <w:tcW w:w="1120" w:type="dxa"/>
            <w:tcBorders>
              <w:top w:val="nil"/>
              <w:left w:val="nil"/>
              <w:bottom w:val="nil"/>
              <w:right w:val="nil"/>
            </w:tcBorders>
            <w:shd w:val="clear" w:color="auto" w:fill="auto"/>
            <w:noWrap/>
            <w:vAlign w:val="center"/>
            <w:hideMark/>
          </w:tcPr>
          <w:p w14:paraId="1692DFBE" w14:textId="660FFFDC"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9,0</w:t>
            </w:r>
          </w:p>
        </w:tc>
        <w:tc>
          <w:tcPr>
            <w:tcW w:w="1120" w:type="dxa"/>
            <w:tcBorders>
              <w:top w:val="nil"/>
              <w:left w:val="nil"/>
              <w:bottom w:val="nil"/>
              <w:right w:val="nil"/>
            </w:tcBorders>
            <w:shd w:val="clear" w:color="auto" w:fill="auto"/>
            <w:noWrap/>
            <w:vAlign w:val="center"/>
            <w:hideMark/>
          </w:tcPr>
          <w:p w14:paraId="1B9E2D8E" w14:textId="635C3429"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69 %</w:t>
            </w:r>
          </w:p>
        </w:tc>
      </w:tr>
      <w:tr w:rsidR="007D4FDA" w:rsidRPr="00CD71E6" w14:paraId="1CBCC1D1" w14:textId="77777777" w:rsidTr="008D5107">
        <w:trPr>
          <w:trHeight w:val="300"/>
        </w:trPr>
        <w:tc>
          <w:tcPr>
            <w:tcW w:w="2880" w:type="dxa"/>
            <w:gridSpan w:val="2"/>
            <w:tcBorders>
              <w:top w:val="nil"/>
              <w:left w:val="nil"/>
              <w:bottom w:val="nil"/>
              <w:right w:val="nil"/>
            </w:tcBorders>
            <w:shd w:val="clear" w:color="auto" w:fill="auto"/>
            <w:noWrap/>
            <w:vAlign w:val="center"/>
            <w:hideMark/>
          </w:tcPr>
          <w:p w14:paraId="0B729738" w14:textId="77777777" w:rsidR="007D4FDA" w:rsidRPr="00CD71E6" w:rsidRDefault="007D4FDA" w:rsidP="008D5107">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du soutien administratif</w:t>
            </w:r>
          </w:p>
        </w:tc>
        <w:tc>
          <w:tcPr>
            <w:tcW w:w="1120" w:type="dxa"/>
            <w:tcBorders>
              <w:top w:val="nil"/>
              <w:left w:val="nil"/>
              <w:bottom w:val="nil"/>
              <w:right w:val="nil"/>
            </w:tcBorders>
            <w:shd w:val="clear" w:color="auto" w:fill="auto"/>
            <w:noWrap/>
            <w:vAlign w:val="center"/>
            <w:hideMark/>
          </w:tcPr>
          <w:p w14:paraId="462003D4" w14:textId="0439453F"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57,67</w:t>
            </w:r>
          </w:p>
        </w:tc>
        <w:tc>
          <w:tcPr>
            <w:tcW w:w="1120" w:type="dxa"/>
            <w:tcBorders>
              <w:top w:val="nil"/>
              <w:left w:val="nil"/>
              <w:bottom w:val="nil"/>
              <w:right w:val="nil"/>
            </w:tcBorders>
            <w:shd w:val="clear" w:color="auto" w:fill="auto"/>
            <w:noWrap/>
            <w:vAlign w:val="center"/>
            <w:hideMark/>
          </w:tcPr>
          <w:p w14:paraId="553FB69A" w14:textId="72C94AA1"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28,67</w:t>
            </w:r>
          </w:p>
        </w:tc>
        <w:tc>
          <w:tcPr>
            <w:tcW w:w="1120" w:type="dxa"/>
            <w:tcBorders>
              <w:top w:val="nil"/>
              <w:left w:val="nil"/>
              <w:bottom w:val="nil"/>
              <w:right w:val="nil"/>
            </w:tcBorders>
            <w:shd w:val="clear" w:color="auto" w:fill="auto"/>
            <w:noWrap/>
            <w:vAlign w:val="center"/>
            <w:hideMark/>
          </w:tcPr>
          <w:p w14:paraId="084D22F1" w14:textId="65B20B70"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29,0</w:t>
            </w:r>
          </w:p>
        </w:tc>
        <w:tc>
          <w:tcPr>
            <w:tcW w:w="1120" w:type="dxa"/>
            <w:tcBorders>
              <w:top w:val="nil"/>
              <w:left w:val="nil"/>
              <w:bottom w:val="nil"/>
              <w:right w:val="nil"/>
            </w:tcBorders>
            <w:shd w:val="clear" w:color="auto" w:fill="auto"/>
            <w:noWrap/>
            <w:vAlign w:val="center"/>
            <w:hideMark/>
          </w:tcPr>
          <w:p w14:paraId="124227BC" w14:textId="58973758"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50 %</w:t>
            </w:r>
          </w:p>
        </w:tc>
        <w:tc>
          <w:tcPr>
            <w:tcW w:w="1120" w:type="dxa"/>
            <w:tcBorders>
              <w:top w:val="nil"/>
              <w:left w:val="nil"/>
              <w:bottom w:val="nil"/>
              <w:right w:val="nil"/>
            </w:tcBorders>
            <w:shd w:val="clear" w:color="auto" w:fill="auto"/>
            <w:noWrap/>
            <w:vAlign w:val="center"/>
            <w:hideMark/>
          </w:tcPr>
          <w:p w14:paraId="0EFB02E9" w14:textId="0ED78E8A"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2</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4EAB4D2E" w14:textId="17683ECE" w:rsidR="007D4FDA" w:rsidRPr="00CD71E6" w:rsidRDefault="007D4FDA" w:rsidP="008D5107">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86 %</w:t>
            </w:r>
          </w:p>
        </w:tc>
      </w:tr>
      <w:tr w:rsidR="007D4FDA" w:rsidRPr="00CD71E6" w14:paraId="33FA1A30" w14:textId="77777777" w:rsidTr="008D5107">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10643C2E" w14:textId="77777777" w:rsidR="007D4FDA" w:rsidRPr="00CD71E6" w:rsidRDefault="007D4FDA" w:rsidP="008D5107">
            <w:pPr>
              <w:spacing w:after="0" w:line="240" w:lineRule="auto"/>
              <w:jc w:val="right"/>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Total des catégories d’emploi</w:t>
            </w:r>
          </w:p>
        </w:tc>
        <w:tc>
          <w:tcPr>
            <w:tcW w:w="1120" w:type="dxa"/>
            <w:tcBorders>
              <w:top w:val="single" w:sz="4" w:space="0" w:color="auto"/>
              <w:left w:val="nil"/>
              <w:bottom w:val="single" w:sz="8" w:space="0" w:color="auto"/>
              <w:right w:val="nil"/>
            </w:tcBorders>
            <w:shd w:val="clear" w:color="auto" w:fill="auto"/>
            <w:noWrap/>
            <w:vAlign w:val="center"/>
            <w:hideMark/>
          </w:tcPr>
          <w:p w14:paraId="70656E99" w14:textId="002CA3E5" w:rsidR="007D4FDA" w:rsidRPr="00CD71E6" w:rsidRDefault="007D4FDA" w:rsidP="008D5107">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sz w:val="20"/>
                <w:lang w:val="fr-CA"/>
              </w:rPr>
              <w:t>247,77</w:t>
            </w:r>
          </w:p>
        </w:tc>
        <w:tc>
          <w:tcPr>
            <w:tcW w:w="1120" w:type="dxa"/>
            <w:tcBorders>
              <w:top w:val="single" w:sz="4" w:space="0" w:color="auto"/>
              <w:left w:val="nil"/>
              <w:bottom w:val="single" w:sz="8" w:space="0" w:color="auto"/>
              <w:right w:val="nil"/>
            </w:tcBorders>
            <w:shd w:val="clear" w:color="auto" w:fill="auto"/>
            <w:noWrap/>
            <w:vAlign w:val="center"/>
            <w:hideMark/>
          </w:tcPr>
          <w:p w14:paraId="7E50E521" w14:textId="2DC7818F" w:rsidR="007D4FDA" w:rsidRPr="00CD71E6" w:rsidRDefault="007D4FDA" w:rsidP="008D5107">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sz w:val="20"/>
                <w:lang w:val="fr-CA"/>
              </w:rPr>
              <w:t>85</w:t>
            </w:r>
            <w:r w:rsidRPr="00CD71E6">
              <w:rPr>
                <w:rFonts w:eastAsia="Times New Roman"/>
                <w:b/>
                <w:bCs/>
                <w:color w:val="000000"/>
                <w:kern w:val="0"/>
                <w:sz w:val="20"/>
                <w:lang w:val="fr-CA"/>
                <w14:ligatures w14:val="none"/>
              </w:rPr>
              <w:t>,77</w:t>
            </w:r>
          </w:p>
        </w:tc>
        <w:tc>
          <w:tcPr>
            <w:tcW w:w="1120" w:type="dxa"/>
            <w:tcBorders>
              <w:top w:val="single" w:sz="4" w:space="0" w:color="auto"/>
              <w:left w:val="nil"/>
              <w:bottom w:val="single" w:sz="8" w:space="0" w:color="auto"/>
              <w:right w:val="nil"/>
            </w:tcBorders>
            <w:shd w:val="clear" w:color="auto" w:fill="auto"/>
            <w:noWrap/>
            <w:vAlign w:val="center"/>
            <w:hideMark/>
          </w:tcPr>
          <w:p w14:paraId="00732571" w14:textId="5E0AE4FC" w:rsidR="007D4FDA" w:rsidRPr="00CD71E6" w:rsidRDefault="007D4FDA" w:rsidP="008D5107">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sz w:val="20"/>
                <w:lang w:val="fr-CA"/>
              </w:rPr>
              <w:t>162,0</w:t>
            </w:r>
          </w:p>
        </w:tc>
        <w:tc>
          <w:tcPr>
            <w:tcW w:w="1120" w:type="dxa"/>
            <w:tcBorders>
              <w:top w:val="single" w:sz="4" w:space="0" w:color="auto"/>
              <w:left w:val="nil"/>
              <w:bottom w:val="single" w:sz="8" w:space="0" w:color="auto"/>
              <w:right w:val="nil"/>
            </w:tcBorders>
            <w:shd w:val="clear" w:color="auto" w:fill="auto"/>
            <w:noWrap/>
            <w:vAlign w:val="center"/>
            <w:hideMark/>
          </w:tcPr>
          <w:p w14:paraId="5C701CAB" w14:textId="6B3C01E8" w:rsidR="007D4FDA" w:rsidRPr="00CD71E6" w:rsidRDefault="007D4FDA" w:rsidP="008D5107">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65 %</w:t>
            </w:r>
          </w:p>
        </w:tc>
        <w:tc>
          <w:tcPr>
            <w:tcW w:w="1120" w:type="dxa"/>
            <w:tcBorders>
              <w:top w:val="single" w:sz="4" w:space="0" w:color="auto"/>
              <w:left w:val="nil"/>
              <w:bottom w:val="single" w:sz="8" w:space="0" w:color="auto"/>
              <w:right w:val="nil"/>
            </w:tcBorders>
            <w:shd w:val="clear" w:color="auto" w:fill="auto"/>
            <w:noWrap/>
            <w:vAlign w:val="center"/>
            <w:hideMark/>
          </w:tcPr>
          <w:p w14:paraId="5408A3F0" w14:textId="18395DB4" w:rsidR="007D4FDA" w:rsidRPr="00CD71E6" w:rsidRDefault="007D4FDA" w:rsidP="008D5107">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82,0</w:t>
            </w:r>
          </w:p>
        </w:tc>
        <w:tc>
          <w:tcPr>
            <w:tcW w:w="1120" w:type="dxa"/>
            <w:tcBorders>
              <w:top w:val="single" w:sz="4" w:space="0" w:color="auto"/>
              <w:left w:val="nil"/>
              <w:bottom w:val="single" w:sz="8" w:space="0" w:color="auto"/>
              <w:right w:val="nil"/>
            </w:tcBorders>
            <w:shd w:val="clear" w:color="auto" w:fill="auto"/>
            <w:noWrap/>
            <w:vAlign w:val="center"/>
            <w:hideMark/>
          </w:tcPr>
          <w:p w14:paraId="6A860EFE" w14:textId="0C81EC5B" w:rsidR="007D4FDA" w:rsidRPr="00CD71E6" w:rsidRDefault="007D4FDA" w:rsidP="008D5107">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51 %</w:t>
            </w:r>
          </w:p>
        </w:tc>
      </w:tr>
    </w:tbl>
    <w:p w14:paraId="62B21EAD" w14:textId="77777777" w:rsidR="006E0989" w:rsidRPr="00CD71E6" w:rsidRDefault="006E0989" w:rsidP="006E0989">
      <w:pPr>
        <w:rPr>
          <w:lang w:val="fr-CA"/>
        </w:rPr>
      </w:pPr>
    </w:p>
    <w:p w14:paraId="07FA4D6F" w14:textId="5B9AF4E7" w:rsidR="00EA71BA" w:rsidRPr="00CD71E6" w:rsidRDefault="004B1896">
      <w:pPr>
        <w:pStyle w:val="Heading3"/>
        <w:rPr>
          <w:lang w:val="fr-CA"/>
        </w:rPr>
      </w:pPr>
      <w:bookmarkStart w:id="37" w:name="_Toc41053696"/>
      <w:r w:rsidRPr="00CD71E6">
        <w:rPr>
          <w:bCs/>
          <w:lang w:val="fr-CA"/>
        </w:rPr>
        <w:t>Au 31 mars 2018</w:t>
      </w:r>
      <w:bookmarkEnd w:id="37"/>
    </w:p>
    <w:tbl>
      <w:tblPr>
        <w:tblW w:w="9600" w:type="dxa"/>
        <w:tblInd w:w="93" w:type="dxa"/>
        <w:tblLook w:val="04A0" w:firstRow="1" w:lastRow="0" w:firstColumn="1" w:lastColumn="0" w:noHBand="0" w:noVBand="1"/>
      </w:tblPr>
      <w:tblGrid>
        <w:gridCol w:w="1440"/>
        <w:gridCol w:w="1440"/>
        <w:gridCol w:w="1120"/>
        <w:gridCol w:w="1120"/>
        <w:gridCol w:w="1120"/>
        <w:gridCol w:w="1120"/>
        <w:gridCol w:w="1147"/>
        <w:gridCol w:w="1416"/>
      </w:tblGrid>
      <w:tr w:rsidR="00275163" w:rsidRPr="00CD71E6" w14:paraId="51644931" w14:textId="77777777" w:rsidTr="00A379D1">
        <w:trPr>
          <w:trHeight w:val="300"/>
        </w:trPr>
        <w:tc>
          <w:tcPr>
            <w:tcW w:w="1440" w:type="dxa"/>
            <w:tcBorders>
              <w:top w:val="nil"/>
              <w:left w:val="nil"/>
              <w:bottom w:val="nil"/>
              <w:right w:val="nil"/>
            </w:tcBorders>
            <w:shd w:val="clear" w:color="auto" w:fill="auto"/>
            <w:noWrap/>
            <w:vAlign w:val="bottom"/>
            <w:hideMark/>
          </w:tcPr>
          <w:p w14:paraId="229239FA" w14:textId="77777777" w:rsidR="00275163" w:rsidRPr="00CD71E6" w:rsidRDefault="00275163" w:rsidP="00A379D1">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5EC6FD44" w14:textId="77777777" w:rsidR="00275163" w:rsidRPr="00CD71E6" w:rsidRDefault="00275163" w:rsidP="00A379D1">
            <w:pPr>
              <w:spacing w:after="0" w:line="240" w:lineRule="auto"/>
              <w:rPr>
                <w:rFonts w:eastAsia="Times New Roman"/>
                <w:color w:val="000000"/>
                <w:kern w:val="0"/>
                <w:sz w:val="20"/>
                <w:lang w:val="fr-CA"/>
                <w14:ligatures w14:val="none"/>
              </w:rPr>
            </w:pPr>
          </w:p>
        </w:tc>
        <w:tc>
          <w:tcPr>
            <w:tcW w:w="4480" w:type="dxa"/>
            <w:gridSpan w:val="4"/>
            <w:tcBorders>
              <w:top w:val="nil"/>
              <w:left w:val="nil"/>
              <w:bottom w:val="nil"/>
              <w:right w:val="nil"/>
            </w:tcBorders>
            <w:shd w:val="clear" w:color="000000" w:fill="000000"/>
            <w:noWrap/>
            <w:vAlign w:val="center"/>
            <w:hideMark/>
          </w:tcPr>
          <w:p w14:paraId="12EF048E" w14:textId="77777777" w:rsidR="00275163" w:rsidRPr="00CD71E6" w:rsidRDefault="00275163" w:rsidP="00A379D1">
            <w:pPr>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Nombre total de postes</w:t>
            </w:r>
          </w:p>
        </w:tc>
        <w:tc>
          <w:tcPr>
            <w:tcW w:w="2240" w:type="dxa"/>
            <w:gridSpan w:val="2"/>
            <w:tcBorders>
              <w:top w:val="nil"/>
              <w:left w:val="nil"/>
              <w:bottom w:val="nil"/>
              <w:right w:val="nil"/>
            </w:tcBorders>
            <w:shd w:val="clear" w:color="000000" w:fill="000000"/>
            <w:noWrap/>
            <w:vAlign w:val="center"/>
            <w:hideMark/>
          </w:tcPr>
          <w:p w14:paraId="768E6FCF" w14:textId="77777777" w:rsidR="00275163" w:rsidRPr="00CD71E6" w:rsidRDefault="00275163" w:rsidP="00A379D1">
            <w:pPr>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Inuits</w:t>
            </w:r>
          </w:p>
        </w:tc>
      </w:tr>
      <w:tr w:rsidR="00275163" w:rsidRPr="00CD71E6" w14:paraId="19FC8277" w14:textId="77777777" w:rsidTr="00A379D1">
        <w:trPr>
          <w:trHeight w:val="300"/>
        </w:trPr>
        <w:tc>
          <w:tcPr>
            <w:tcW w:w="1440" w:type="dxa"/>
            <w:tcBorders>
              <w:top w:val="nil"/>
              <w:left w:val="nil"/>
              <w:bottom w:val="nil"/>
              <w:right w:val="nil"/>
            </w:tcBorders>
            <w:shd w:val="clear" w:color="auto" w:fill="auto"/>
            <w:noWrap/>
            <w:vAlign w:val="bottom"/>
            <w:hideMark/>
          </w:tcPr>
          <w:p w14:paraId="0F58B359" w14:textId="77777777" w:rsidR="00275163" w:rsidRPr="00CD71E6" w:rsidRDefault="00275163" w:rsidP="00A379D1">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58E508F0" w14:textId="77777777" w:rsidR="00275163" w:rsidRPr="00CD71E6" w:rsidRDefault="00275163" w:rsidP="00A379D1">
            <w:pPr>
              <w:spacing w:after="0" w:line="240" w:lineRule="auto"/>
              <w:rPr>
                <w:rFonts w:eastAsia="Times New Roman"/>
                <w:color w:val="000000"/>
                <w:kern w:val="0"/>
                <w:sz w:val="20"/>
                <w:lang w:val="fr-CA"/>
                <w14:ligatures w14:val="none"/>
              </w:rPr>
            </w:pPr>
          </w:p>
        </w:tc>
        <w:tc>
          <w:tcPr>
            <w:tcW w:w="1120" w:type="dxa"/>
            <w:vMerge w:val="restart"/>
            <w:tcBorders>
              <w:top w:val="nil"/>
              <w:left w:val="nil"/>
              <w:bottom w:val="nil"/>
              <w:right w:val="nil"/>
            </w:tcBorders>
            <w:shd w:val="clear" w:color="000000" w:fill="000000"/>
            <w:vAlign w:val="bottom"/>
            <w:hideMark/>
          </w:tcPr>
          <w:p w14:paraId="6594D473" w14:textId="77777777" w:rsidR="00275163" w:rsidRPr="00CD71E6" w:rsidRDefault="00275163" w:rsidP="00A379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Nombre total de postes</w:t>
            </w:r>
          </w:p>
        </w:tc>
        <w:tc>
          <w:tcPr>
            <w:tcW w:w="1120" w:type="dxa"/>
            <w:vMerge w:val="restart"/>
            <w:tcBorders>
              <w:top w:val="nil"/>
              <w:left w:val="nil"/>
              <w:bottom w:val="nil"/>
              <w:right w:val="nil"/>
            </w:tcBorders>
            <w:shd w:val="clear" w:color="000000" w:fill="000000"/>
            <w:vAlign w:val="bottom"/>
            <w:hideMark/>
          </w:tcPr>
          <w:p w14:paraId="19A723E2" w14:textId="77777777" w:rsidR="00275163" w:rsidRPr="00CD71E6" w:rsidRDefault="00275163" w:rsidP="00A379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vacants</w:t>
            </w:r>
          </w:p>
        </w:tc>
        <w:tc>
          <w:tcPr>
            <w:tcW w:w="1120" w:type="dxa"/>
            <w:vMerge w:val="restart"/>
            <w:tcBorders>
              <w:top w:val="nil"/>
              <w:left w:val="nil"/>
              <w:bottom w:val="single" w:sz="8" w:space="0" w:color="000000"/>
              <w:right w:val="nil"/>
            </w:tcBorders>
            <w:shd w:val="clear" w:color="000000" w:fill="000000"/>
            <w:vAlign w:val="bottom"/>
            <w:hideMark/>
          </w:tcPr>
          <w:p w14:paraId="3C18625A" w14:textId="77777777" w:rsidR="00275163" w:rsidRPr="00CD71E6" w:rsidRDefault="00275163" w:rsidP="00A379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pourvus</w:t>
            </w:r>
          </w:p>
        </w:tc>
        <w:tc>
          <w:tcPr>
            <w:tcW w:w="1120" w:type="dxa"/>
            <w:vMerge w:val="restart"/>
            <w:tcBorders>
              <w:top w:val="nil"/>
              <w:left w:val="nil"/>
              <w:bottom w:val="single" w:sz="8" w:space="0" w:color="000000"/>
              <w:right w:val="nil"/>
            </w:tcBorders>
            <w:shd w:val="clear" w:color="000000" w:fill="000000"/>
            <w:vAlign w:val="bottom"/>
            <w:hideMark/>
          </w:tcPr>
          <w:p w14:paraId="0E81FAF4" w14:textId="77777777" w:rsidR="00275163" w:rsidRPr="00CD71E6" w:rsidRDefault="00275163" w:rsidP="00A379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de la capacité</w:t>
            </w:r>
          </w:p>
        </w:tc>
        <w:tc>
          <w:tcPr>
            <w:tcW w:w="1120" w:type="dxa"/>
            <w:tcBorders>
              <w:top w:val="nil"/>
              <w:left w:val="nil"/>
              <w:bottom w:val="nil"/>
              <w:right w:val="nil"/>
            </w:tcBorders>
            <w:shd w:val="clear" w:color="000000" w:fill="000000"/>
            <w:vAlign w:val="center"/>
            <w:hideMark/>
          </w:tcPr>
          <w:p w14:paraId="2B851777" w14:textId="77777777" w:rsidR="00275163" w:rsidRPr="00CD71E6" w:rsidRDefault="00275163" w:rsidP="00A379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c>
          <w:tcPr>
            <w:tcW w:w="1120" w:type="dxa"/>
            <w:tcBorders>
              <w:top w:val="nil"/>
              <w:left w:val="nil"/>
              <w:bottom w:val="nil"/>
              <w:right w:val="nil"/>
            </w:tcBorders>
            <w:shd w:val="clear" w:color="000000" w:fill="000000"/>
            <w:vAlign w:val="center"/>
            <w:hideMark/>
          </w:tcPr>
          <w:p w14:paraId="2BE20C3E" w14:textId="77777777" w:rsidR="00275163" w:rsidRPr="00CD71E6" w:rsidRDefault="00275163" w:rsidP="00A379D1">
            <w:pPr>
              <w:spacing w:after="0" w:line="240" w:lineRule="auto"/>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r>
      <w:tr w:rsidR="00275163" w:rsidRPr="004373E7" w14:paraId="35699766" w14:textId="77777777" w:rsidTr="00B01B52">
        <w:trPr>
          <w:trHeight w:val="315"/>
        </w:trPr>
        <w:tc>
          <w:tcPr>
            <w:tcW w:w="1440" w:type="dxa"/>
            <w:tcBorders>
              <w:top w:val="nil"/>
              <w:left w:val="nil"/>
              <w:bottom w:val="nil"/>
              <w:right w:val="nil"/>
            </w:tcBorders>
            <w:shd w:val="clear" w:color="auto" w:fill="auto"/>
            <w:noWrap/>
            <w:vAlign w:val="bottom"/>
            <w:hideMark/>
          </w:tcPr>
          <w:p w14:paraId="0725BDD7" w14:textId="77777777" w:rsidR="00275163" w:rsidRPr="00CD71E6" w:rsidRDefault="00275163" w:rsidP="00A379D1">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4DF093D5" w14:textId="77777777" w:rsidR="00275163" w:rsidRPr="00CD71E6" w:rsidRDefault="00275163" w:rsidP="00A379D1">
            <w:pPr>
              <w:spacing w:after="0" w:line="240" w:lineRule="auto"/>
              <w:rPr>
                <w:rFonts w:eastAsia="Times New Roman"/>
                <w:color w:val="000000"/>
                <w:kern w:val="0"/>
                <w:sz w:val="20"/>
                <w:lang w:val="fr-CA"/>
                <w14:ligatures w14:val="none"/>
              </w:rPr>
            </w:pPr>
          </w:p>
        </w:tc>
        <w:tc>
          <w:tcPr>
            <w:tcW w:w="1120" w:type="dxa"/>
            <w:vMerge/>
            <w:tcBorders>
              <w:top w:val="nil"/>
              <w:left w:val="nil"/>
              <w:bottom w:val="nil"/>
              <w:right w:val="nil"/>
            </w:tcBorders>
            <w:vAlign w:val="center"/>
            <w:hideMark/>
          </w:tcPr>
          <w:p w14:paraId="21642B19" w14:textId="77777777" w:rsidR="00275163" w:rsidRPr="00CD71E6" w:rsidRDefault="00275163" w:rsidP="00A379D1">
            <w:pPr>
              <w:spacing w:after="0" w:line="240" w:lineRule="auto"/>
              <w:rPr>
                <w:rFonts w:eastAsia="Times New Roman"/>
                <w:color w:val="FFFFFF"/>
                <w:kern w:val="0"/>
                <w:sz w:val="20"/>
                <w:lang w:val="fr-CA"/>
                <w14:ligatures w14:val="none"/>
              </w:rPr>
            </w:pPr>
          </w:p>
        </w:tc>
        <w:tc>
          <w:tcPr>
            <w:tcW w:w="1120" w:type="dxa"/>
            <w:vMerge/>
            <w:tcBorders>
              <w:top w:val="nil"/>
              <w:left w:val="nil"/>
              <w:bottom w:val="nil"/>
              <w:right w:val="nil"/>
            </w:tcBorders>
            <w:vAlign w:val="center"/>
            <w:hideMark/>
          </w:tcPr>
          <w:p w14:paraId="1AD613F5" w14:textId="77777777" w:rsidR="00275163" w:rsidRPr="00CD71E6" w:rsidRDefault="00275163" w:rsidP="00A379D1">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21C8687C" w14:textId="77777777" w:rsidR="00275163" w:rsidRPr="00CD71E6" w:rsidRDefault="00275163" w:rsidP="00A379D1">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205D25A8" w14:textId="77777777" w:rsidR="00275163" w:rsidRPr="00CD71E6" w:rsidRDefault="00275163" w:rsidP="00A379D1">
            <w:pPr>
              <w:spacing w:after="0" w:line="240" w:lineRule="auto"/>
              <w:rPr>
                <w:rFonts w:eastAsia="Times New Roman"/>
                <w:color w:val="FFFFFF"/>
                <w:kern w:val="0"/>
                <w:sz w:val="20"/>
                <w:lang w:val="fr-CA"/>
                <w14:ligatures w14:val="none"/>
              </w:rPr>
            </w:pPr>
          </w:p>
        </w:tc>
        <w:tc>
          <w:tcPr>
            <w:tcW w:w="1120" w:type="dxa"/>
            <w:tcBorders>
              <w:top w:val="nil"/>
              <w:left w:val="nil"/>
              <w:bottom w:val="nil"/>
              <w:right w:val="nil"/>
            </w:tcBorders>
            <w:shd w:val="clear" w:color="000000" w:fill="000000"/>
            <w:vAlign w:val="bottom"/>
            <w:hideMark/>
          </w:tcPr>
          <w:p w14:paraId="307A51E2" w14:textId="77777777" w:rsidR="00275163" w:rsidRPr="00CD71E6" w:rsidRDefault="00275163" w:rsidP="000B2E62">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Embauchés</w:t>
            </w:r>
          </w:p>
        </w:tc>
        <w:tc>
          <w:tcPr>
            <w:tcW w:w="1120" w:type="dxa"/>
            <w:tcBorders>
              <w:top w:val="nil"/>
              <w:left w:val="nil"/>
              <w:bottom w:val="single" w:sz="8" w:space="0" w:color="auto"/>
              <w:right w:val="nil"/>
            </w:tcBorders>
            <w:shd w:val="clear" w:color="000000" w:fill="000000"/>
            <w:vAlign w:val="center"/>
            <w:hideMark/>
          </w:tcPr>
          <w:p w14:paraId="5FA41940" w14:textId="77777777" w:rsidR="00275163" w:rsidRPr="00CD71E6" w:rsidRDefault="00275163" w:rsidP="00A379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du plan d’embauchage des Inuits</w:t>
            </w:r>
          </w:p>
        </w:tc>
      </w:tr>
      <w:tr w:rsidR="00275163" w:rsidRPr="00CD71E6" w14:paraId="715DDC2F"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EE1F428" w14:textId="77777777" w:rsidR="00275163" w:rsidRPr="00CD71E6" w:rsidRDefault="00275163"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direction</w:t>
            </w:r>
          </w:p>
        </w:tc>
        <w:tc>
          <w:tcPr>
            <w:tcW w:w="1120" w:type="dxa"/>
            <w:tcBorders>
              <w:top w:val="single" w:sz="8" w:space="0" w:color="auto"/>
              <w:left w:val="nil"/>
              <w:bottom w:val="nil"/>
              <w:right w:val="nil"/>
            </w:tcBorders>
            <w:shd w:val="clear" w:color="auto" w:fill="auto"/>
            <w:noWrap/>
            <w:vAlign w:val="center"/>
            <w:hideMark/>
          </w:tcPr>
          <w:p w14:paraId="2D605CAD"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single" w:sz="8" w:space="0" w:color="auto"/>
              <w:left w:val="nil"/>
              <w:bottom w:val="nil"/>
              <w:right w:val="nil"/>
            </w:tcBorders>
            <w:shd w:val="clear" w:color="auto" w:fill="auto"/>
            <w:noWrap/>
            <w:vAlign w:val="center"/>
            <w:hideMark/>
          </w:tcPr>
          <w:p w14:paraId="64D030E3"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0,0</w:t>
            </w:r>
          </w:p>
        </w:tc>
        <w:tc>
          <w:tcPr>
            <w:tcW w:w="1120" w:type="dxa"/>
            <w:tcBorders>
              <w:top w:val="nil"/>
              <w:left w:val="nil"/>
              <w:bottom w:val="nil"/>
              <w:right w:val="nil"/>
            </w:tcBorders>
            <w:shd w:val="clear" w:color="auto" w:fill="auto"/>
            <w:noWrap/>
            <w:vAlign w:val="center"/>
            <w:hideMark/>
          </w:tcPr>
          <w:p w14:paraId="21F05EB7"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nil"/>
              <w:left w:val="nil"/>
              <w:bottom w:val="nil"/>
              <w:right w:val="nil"/>
            </w:tcBorders>
            <w:shd w:val="clear" w:color="auto" w:fill="auto"/>
            <w:noWrap/>
            <w:vAlign w:val="center"/>
            <w:hideMark/>
          </w:tcPr>
          <w:p w14:paraId="1D6E5BB0"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c>
          <w:tcPr>
            <w:tcW w:w="1120" w:type="dxa"/>
            <w:tcBorders>
              <w:top w:val="single" w:sz="8" w:space="0" w:color="auto"/>
              <w:left w:val="nil"/>
              <w:bottom w:val="nil"/>
              <w:right w:val="nil"/>
            </w:tcBorders>
            <w:shd w:val="clear" w:color="auto" w:fill="auto"/>
            <w:noWrap/>
            <w:vAlign w:val="center"/>
            <w:hideMark/>
          </w:tcPr>
          <w:p w14:paraId="2DC0342C"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w:t>
            </w:r>
          </w:p>
        </w:tc>
        <w:tc>
          <w:tcPr>
            <w:tcW w:w="1120" w:type="dxa"/>
            <w:tcBorders>
              <w:top w:val="nil"/>
              <w:left w:val="nil"/>
              <w:bottom w:val="nil"/>
              <w:right w:val="nil"/>
            </w:tcBorders>
            <w:shd w:val="clear" w:color="auto" w:fill="auto"/>
            <w:noWrap/>
            <w:vAlign w:val="center"/>
            <w:hideMark/>
          </w:tcPr>
          <w:p w14:paraId="419E4F88"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50 %</w:t>
            </w:r>
          </w:p>
        </w:tc>
      </w:tr>
      <w:tr w:rsidR="00275163" w:rsidRPr="00CD71E6" w14:paraId="583700B4"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38D4F7BA" w14:textId="77777777" w:rsidR="00275163" w:rsidRPr="00CD71E6" w:rsidRDefault="00275163"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supérieurs</w:t>
            </w:r>
          </w:p>
        </w:tc>
        <w:tc>
          <w:tcPr>
            <w:tcW w:w="1120" w:type="dxa"/>
            <w:tcBorders>
              <w:top w:val="nil"/>
              <w:left w:val="nil"/>
              <w:bottom w:val="nil"/>
              <w:right w:val="nil"/>
            </w:tcBorders>
            <w:shd w:val="clear" w:color="auto" w:fill="auto"/>
            <w:noWrap/>
            <w:vAlign w:val="center"/>
            <w:hideMark/>
          </w:tcPr>
          <w:p w14:paraId="5D306FC3"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w:t>
            </w:r>
          </w:p>
        </w:tc>
        <w:tc>
          <w:tcPr>
            <w:tcW w:w="1120" w:type="dxa"/>
            <w:tcBorders>
              <w:top w:val="nil"/>
              <w:left w:val="nil"/>
              <w:bottom w:val="nil"/>
              <w:right w:val="nil"/>
            </w:tcBorders>
            <w:shd w:val="clear" w:color="auto" w:fill="auto"/>
            <w:noWrap/>
            <w:vAlign w:val="center"/>
            <w:hideMark/>
          </w:tcPr>
          <w:p w14:paraId="263C79D6"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3</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791AD317"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4</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15211D15"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 xml:space="preserve">57 </w:t>
            </w:r>
            <w:r w:rsidRPr="00CD71E6">
              <w:rPr>
                <w:rFonts w:eastAsia="Times New Roman"/>
                <w:color w:val="000000"/>
                <w:kern w:val="0"/>
                <w:sz w:val="20"/>
                <w:lang w:val="fr-CA"/>
                <w14:ligatures w14:val="none"/>
              </w:rPr>
              <w:t>%</w:t>
            </w:r>
          </w:p>
        </w:tc>
        <w:tc>
          <w:tcPr>
            <w:tcW w:w="1120" w:type="dxa"/>
            <w:tcBorders>
              <w:top w:val="nil"/>
              <w:left w:val="nil"/>
              <w:bottom w:val="nil"/>
              <w:right w:val="nil"/>
            </w:tcBorders>
            <w:shd w:val="clear" w:color="auto" w:fill="auto"/>
            <w:noWrap/>
            <w:vAlign w:val="center"/>
            <w:hideMark/>
          </w:tcPr>
          <w:p w14:paraId="32656EB2"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nil"/>
              <w:left w:val="nil"/>
              <w:bottom w:val="nil"/>
              <w:right w:val="nil"/>
            </w:tcBorders>
            <w:shd w:val="clear" w:color="auto" w:fill="auto"/>
            <w:noWrap/>
            <w:vAlign w:val="center"/>
            <w:hideMark/>
          </w:tcPr>
          <w:p w14:paraId="785461C0"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 xml:space="preserve">50 </w:t>
            </w:r>
            <w:r w:rsidRPr="00CD71E6">
              <w:rPr>
                <w:rFonts w:eastAsia="Times New Roman"/>
                <w:color w:val="000000"/>
                <w:kern w:val="0"/>
                <w:sz w:val="20"/>
                <w:lang w:val="fr-CA"/>
                <w14:ligatures w14:val="none"/>
              </w:rPr>
              <w:t>%</w:t>
            </w:r>
          </w:p>
        </w:tc>
      </w:tr>
      <w:tr w:rsidR="00275163" w:rsidRPr="00CD71E6" w14:paraId="5CC09F03"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5122E044" w14:textId="77777777" w:rsidR="00275163" w:rsidRPr="00CD71E6" w:rsidRDefault="00275163"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intermédiaires</w:t>
            </w:r>
          </w:p>
        </w:tc>
        <w:tc>
          <w:tcPr>
            <w:tcW w:w="1120" w:type="dxa"/>
            <w:tcBorders>
              <w:top w:val="nil"/>
              <w:left w:val="nil"/>
              <w:bottom w:val="nil"/>
              <w:right w:val="nil"/>
            </w:tcBorders>
            <w:shd w:val="clear" w:color="auto" w:fill="auto"/>
            <w:noWrap/>
            <w:vAlign w:val="center"/>
            <w:hideMark/>
          </w:tcPr>
          <w:p w14:paraId="4202799A"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27,0</w:t>
            </w:r>
          </w:p>
        </w:tc>
        <w:tc>
          <w:tcPr>
            <w:tcW w:w="1120" w:type="dxa"/>
            <w:tcBorders>
              <w:top w:val="nil"/>
              <w:left w:val="nil"/>
              <w:bottom w:val="nil"/>
              <w:right w:val="nil"/>
            </w:tcBorders>
            <w:shd w:val="clear" w:color="auto" w:fill="auto"/>
            <w:noWrap/>
            <w:vAlign w:val="center"/>
            <w:hideMark/>
          </w:tcPr>
          <w:p w14:paraId="73FFEE2C"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6</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3C60F709"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21</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6EF1E138"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78</w:t>
            </w:r>
            <w:r w:rsidRPr="00CD71E6">
              <w:rPr>
                <w:rFonts w:eastAsia="Times New Roman"/>
                <w:color w:val="000000"/>
                <w:kern w:val="0"/>
                <w:sz w:val="20"/>
                <w:lang w:val="fr-CA"/>
                <w14:ligatures w14:val="none"/>
              </w:rPr>
              <w:t xml:space="preserve"> %</w:t>
            </w:r>
          </w:p>
        </w:tc>
        <w:tc>
          <w:tcPr>
            <w:tcW w:w="1120" w:type="dxa"/>
            <w:tcBorders>
              <w:top w:val="nil"/>
              <w:left w:val="nil"/>
              <w:bottom w:val="nil"/>
              <w:right w:val="nil"/>
            </w:tcBorders>
            <w:shd w:val="clear" w:color="auto" w:fill="auto"/>
            <w:noWrap/>
            <w:vAlign w:val="center"/>
            <w:hideMark/>
          </w:tcPr>
          <w:p w14:paraId="505A1016"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8</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2A2807D1"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w:t>
            </w:r>
            <w:r w:rsidRPr="00CD71E6">
              <w:rPr>
                <w:rFonts w:eastAsia="Times New Roman"/>
                <w:color w:val="000000"/>
                <w:sz w:val="20"/>
                <w:lang w:val="fr-CA"/>
              </w:rPr>
              <w:t>8</w:t>
            </w:r>
            <w:r w:rsidRPr="00CD71E6">
              <w:rPr>
                <w:rFonts w:eastAsia="Times New Roman"/>
                <w:color w:val="000000"/>
                <w:kern w:val="0"/>
                <w:sz w:val="20"/>
                <w:lang w:val="fr-CA"/>
                <w14:ligatures w14:val="none"/>
              </w:rPr>
              <w:t xml:space="preserve"> %</w:t>
            </w:r>
          </w:p>
        </w:tc>
      </w:tr>
      <w:tr w:rsidR="00275163" w:rsidRPr="00CD71E6" w14:paraId="7F27282E"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64A117DF" w14:textId="77777777" w:rsidR="00275163" w:rsidRPr="00CD71E6" w:rsidRDefault="00275163"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professionnels</w:t>
            </w:r>
          </w:p>
        </w:tc>
        <w:tc>
          <w:tcPr>
            <w:tcW w:w="1120" w:type="dxa"/>
            <w:tcBorders>
              <w:top w:val="nil"/>
              <w:left w:val="nil"/>
              <w:bottom w:val="nil"/>
              <w:right w:val="nil"/>
            </w:tcBorders>
            <w:shd w:val="clear" w:color="auto" w:fill="auto"/>
            <w:noWrap/>
            <w:vAlign w:val="center"/>
            <w:hideMark/>
          </w:tcPr>
          <w:p w14:paraId="131DA16D"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12</w:t>
            </w:r>
            <w:r w:rsidRPr="00CD71E6">
              <w:rPr>
                <w:rFonts w:eastAsia="Times New Roman"/>
                <w:color w:val="000000"/>
                <w:sz w:val="20"/>
                <w:lang w:val="fr-CA"/>
              </w:rPr>
              <w:t>5,6</w:t>
            </w:r>
          </w:p>
        </w:tc>
        <w:tc>
          <w:tcPr>
            <w:tcW w:w="1120" w:type="dxa"/>
            <w:tcBorders>
              <w:top w:val="nil"/>
              <w:left w:val="nil"/>
              <w:bottom w:val="nil"/>
              <w:right w:val="nil"/>
            </w:tcBorders>
            <w:shd w:val="clear" w:color="auto" w:fill="auto"/>
            <w:noWrap/>
            <w:vAlign w:val="center"/>
            <w:hideMark/>
          </w:tcPr>
          <w:p w14:paraId="72C69D26"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36</w:t>
            </w:r>
            <w:r w:rsidRPr="00CD71E6">
              <w:rPr>
                <w:rFonts w:eastAsia="Times New Roman"/>
                <w:color w:val="000000"/>
                <w:kern w:val="0"/>
                <w:sz w:val="20"/>
                <w:lang w:val="fr-CA"/>
                <w14:ligatures w14:val="none"/>
              </w:rPr>
              <w:t>,6</w:t>
            </w:r>
          </w:p>
        </w:tc>
        <w:tc>
          <w:tcPr>
            <w:tcW w:w="1120" w:type="dxa"/>
            <w:tcBorders>
              <w:top w:val="nil"/>
              <w:left w:val="nil"/>
              <w:bottom w:val="nil"/>
              <w:right w:val="nil"/>
            </w:tcBorders>
            <w:shd w:val="clear" w:color="auto" w:fill="auto"/>
            <w:noWrap/>
            <w:vAlign w:val="center"/>
            <w:hideMark/>
          </w:tcPr>
          <w:p w14:paraId="4887B0BE"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89,0</w:t>
            </w:r>
          </w:p>
        </w:tc>
        <w:tc>
          <w:tcPr>
            <w:tcW w:w="1120" w:type="dxa"/>
            <w:tcBorders>
              <w:top w:val="nil"/>
              <w:left w:val="nil"/>
              <w:bottom w:val="nil"/>
              <w:right w:val="nil"/>
            </w:tcBorders>
            <w:shd w:val="clear" w:color="auto" w:fill="auto"/>
            <w:noWrap/>
            <w:vAlign w:val="center"/>
            <w:hideMark/>
          </w:tcPr>
          <w:p w14:paraId="18943F45"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71</w:t>
            </w:r>
            <w:r w:rsidRPr="00CD71E6">
              <w:rPr>
                <w:rFonts w:eastAsia="Times New Roman"/>
                <w:color w:val="000000"/>
                <w:kern w:val="0"/>
                <w:sz w:val="20"/>
                <w:lang w:val="fr-CA"/>
                <w14:ligatures w14:val="none"/>
              </w:rPr>
              <w:t xml:space="preserve"> %</w:t>
            </w:r>
          </w:p>
        </w:tc>
        <w:tc>
          <w:tcPr>
            <w:tcW w:w="1120" w:type="dxa"/>
            <w:tcBorders>
              <w:top w:val="nil"/>
              <w:left w:val="nil"/>
              <w:bottom w:val="nil"/>
              <w:right w:val="nil"/>
            </w:tcBorders>
            <w:shd w:val="clear" w:color="auto" w:fill="auto"/>
            <w:noWrap/>
            <w:vAlign w:val="center"/>
            <w:hideMark/>
          </w:tcPr>
          <w:p w14:paraId="0A4BF02B"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w:t>
            </w:r>
            <w:r w:rsidRPr="00CD71E6">
              <w:rPr>
                <w:rFonts w:eastAsia="Times New Roman"/>
                <w:color w:val="000000"/>
                <w:sz w:val="20"/>
                <w:lang w:val="fr-CA"/>
              </w:rPr>
              <w:t>9</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1E495AA5"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44</w:t>
            </w:r>
            <w:r w:rsidRPr="00CD71E6">
              <w:rPr>
                <w:rFonts w:eastAsia="Times New Roman"/>
                <w:color w:val="000000"/>
                <w:kern w:val="0"/>
                <w:sz w:val="20"/>
                <w:lang w:val="fr-CA"/>
                <w14:ligatures w14:val="none"/>
              </w:rPr>
              <w:t xml:space="preserve"> %</w:t>
            </w:r>
          </w:p>
        </w:tc>
      </w:tr>
      <w:tr w:rsidR="00275163" w:rsidRPr="00CD71E6" w14:paraId="742923D3"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1C3D6E6A" w14:textId="77777777" w:rsidR="00275163" w:rsidRPr="00CD71E6" w:rsidRDefault="00275163"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paraprofessionnels</w:t>
            </w:r>
          </w:p>
        </w:tc>
        <w:tc>
          <w:tcPr>
            <w:tcW w:w="1120" w:type="dxa"/>
            <w:tcBorders>
              <w:top w:val="nil"/>
              <w:left w:val="nil"/>
              <w:bottom w:val="nil"/>
              <w:right w:val="nil"/>
            </w:tcBorders>
            <w:shd w:val="clear" w:color="auto" w:fill="auto"/>
            <w:noWrap/>
            <w:vAlign w:val="center"/>
            <w:hideMark/>
          </w:tcPr>
          <w:p w14:paraId="7BC19C2A"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w:t>
            </w:r>
            <w:r w:rsidRPr="00CD71E6">
              <w:rPr>
                <w:rFonts w:eastAsia="Times New Roman"/>
                <w:color w:val="000000"/>
                <w:sz w:val="20"/>
                <w:lang w:val="fr-CA"/>
              </w:rPr>
              <w:t>2</w:t>
            </w:r>
            <w:r w:rsidRPr="00CD71E6">
              <w:rPr>
                <w:rFonts w:eastAsia="Times New Roman"/>
                <w:color w:val="000000"/>
                <w:kern w:val="0"/>
                <w:sz w:val="20"/>
                <w:lang w:val="fr-CA"/>
                <w14:ligatures w14:val="none"/>
              </w:rPr>
              <w:t>,5</w:t>
            </w:r>
          </w:p>
        </w:tc>
        <w:tc>
          <w:tcPr>
            <w:tcW w:w="1120" w:type="dxa"/>
            <w:tcBorders>
              <w:top w:val="nil"/>
              <w:left w:val="nil"/>
              <w:bottom w:val="nil"/>
              <w:right w:val="nil"/>
            </w:tcBorders>
            <w:shd w:val="clear" w:color="auto" w:fill="auto"/>
            <w:noWrap/>
            <w:vAlign w:val="center"/>
            <w:hideMark/>
          </w:tcPr>
          <w:p w14:paraId="4D90F849"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4,</w:t>
            </w:r>
            <w:r w:rsidRPr="00CD71E6">
              <w:rPr>
                <w:rFonts w:eastAsia="Times New Roman"/>
                <w:color w:val="000000"/>
                <w:kern w:val="0"/>
                <w:sz w:val="20"/>
                <w:lang w:val="fr-CA"/>
                <w14:ligatures w14:val="none"/>
              </w:rPr>
              <w:t>5</w:t>
            </w:r>
          </w:p>
        </w:tc>
        <w:tc>
          <w:tcPr>
            <w:tcW w:w="1120" w:type="dxa"/>
            <w:tcBorders>
              <w:top w:val="nil"/>
              <w:left w:val="nil"/>
              <w:bottom w:val="nil"/>
              <w:right w:val="nil"/>
            </w:tcBorders>
            <w:shd w:val="clear" w:color="auto" w:fill="auto"/>
            <w:noWrap/>
            <w:vAlign w:val="center"/>
            <w:hideMark/>
          </w:tcPr>
          <w:p w14:paraId="4D91DA44"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18,0</w:t>
            </w:r>
          </w:p>
        </w:tc>
        <w:tc>
          <w:tcPr>
            <w:tcW w:w="1120" w:type="dxa"/>
            <w:tcBorders>
              <w:top w:val="nil"/>
              <w:left w:val="nil"/>
              <w:bottom w:val="nil"/>
              <w:right w:val="nil"/>
            </w:tcBorders>
            <w:shd w:val="clear" w:color="auto" w:fill="auto"/>
            <w:noWrap/>
            <w:vAlign w:val="center"/>
            <w:hideMark/>
          </w:tcPr>
          <w:p w14:paraId="6F6F430F"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80</w:t>
            </w:r>
            <w:r w:rsidRPr="00CD71E6">
              <w:rPr>
                <w:rFonts w:eastAsia="Times New Roman"/>
                <w:color w:val="000000"/>
                <w:kern w:val="0"/>
                <w:sz w:val="20"/>
                <w:lang w:val="fr-CA"/>
                <w14:ligatures w14:val="none"/>
              </w:rPr>
              <w:t xml:space="preserve"> %</w:t>
            </w:r>
          </w:p>
        </w:tc>
        <w:tc>
          <w:tcPr>
            <w:tcW w:w="1120" w:type="dxa"/>
            <w:tcBorders>
              <w:top w:val="nil"/>
              <w:left w:val="nil"/>
              <w:bottom w:val="nil"/>
              <w:right w:val="nil"/>
            </w:tcBorders>
            <w:shd w:val="clear" w:color="auto" w:fill="auto"/>
            <w:noWrap/>
            <w:vAlign w:val="center"/>
            <w:hideMark/>
          </w:tcPr>
          <w:p w14:paraId="1A6C86EB"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12,0</w:t>
            </w:r>
          </w:p>
        </w:tc>
        <w:tc>
          <w:tcPr>
            <w:tcW w:w="1120" w:type="dxa"/>
            <w:tcBorders>
              <w:top w:val="nil"/>
              <w:left w:val="nil"/>
              <w:bottom w:val="nil"/>
              <w:right w:val="nil"/>
            </w:tcBorders>
            <w:shd w:val="clear" w:color="auto" w:fill="auto"/>
            <w:noWrap/>
            <w:vAlign w:val="center"/>
            <w:hideMark/>
          </w:tcPr>
          <w:p w14:paraId="5080B193"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67 %</w:t>
            </w:r>
          </w:p>
        </w:tc>
      </w:tr>
      <w:tr w:rsidR="00275163" w:rsidRPr="00CD71E6" w14:paraId="4F98201B"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6950442B" w14:textId="77777777" w:rsidR="00275163" w:rsidRPr="00CD71E6" w:rsidRDefault="00275163"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du soutien administratif</w:t>
            </w:r>
          </w:p>
        </w:tc>
        <w:tc>
          <w:tcPr>
            <w:tcW w:w="1120" w:type="dxa"/>
            <w:tcBorders>
              <w:top w:val="nil"/>
              <w:left w:val="nil"/>
              <w:bottom w:val="nil"/>
              <w:right w:val="nil"/>
            </w:tcBorders>
            <w:shd w:val="clear" w:color="auto" w:fill="auto"/>
            <w:noWrap/>
            <w:vAlign w:val="center"/>
            <w:hideMark/>
          </w:tcPr>
          <w:p w14:paraId="475422D3"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w:t>
            </w:r>
            <w:r w:rsidRPr="00CD71E6">
              <w:rPr>
                <w:rFonts w:eastAsia="Times New Roman"/>
                <w:color w:val="000000"/>
                <w:sz w:val="20"/>
                <w:lang w:val="fr-CA"/>
              </w:rPr>
              <w:t>6</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01C8E680"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15</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133F7AEB"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w:t>
            </w:r>
            <w:r w:rsidRPr="00CD71E6">
              <w:rPr>
                <w:rFonts w:eastAsia="Times New Roman"/>
                <w:color w:val="000000"/>
                <w:sz w:val="20"/>
                <w:lang w:val="fr-CA"/>
              </w:rPr>
              <w:t>1</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055B489E"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67</w:t>
            </w:r>
            <w:r w:rsidRPr="00CD71E6">
              <w:rPr>
                <w:rFonts w:eastAsia="Times New Roman"/>
                <w:color w:val="000000"/>
                <w:kern w:val="0"/>
                <w:sz w:val="20"/>
                <w:lang w:val="fr-CA"/>
                <w14:ligatures w14:val="none"/>
              </w:rPr>
              <w:t xml:space="preserve"> %</w:t>
            </w:r>
          </w:p>
        </w:tc>
        <w:tc>
          <w:tcPr>
            <w:tcW w:w="1120" w:type="dxa"/>
            <w:tcBorders>
              <w:top w:val="nil"/>
              <w:left w:val="nil"/>
              <w:bottom w:val="nil"/>
              <w:right w:val="nil"/>
            </w:tcBorders>
            <w:shd w:val="clear" w:color="auto" w:fill="auto"/>
            <w:noWrap/>
            <w:vAlign w:val="center"/>
            <w:hideMark/>
          </w:tcPr>
          <w:p w14:paraId="19FD8535"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sz w:val="20"/>
                <w:lang w:val="fr-CA"/>
              </w:rPr>
              <w:t>28</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2DEBF163" w14:textId="77777777" w:rsidR="00275163" w:rsidRPr="00CD71E6" w:rsidRDefault="00275163" w:rsidP="007D4FDA">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w:t>
            </w:r>
            <w:r w:rsidRPr="00CD71E6">
              <w:rPr>
                <w:rFonts w:eastAsia="Times New Roman"/>
                <w:color w:val="000000"/>
                <w:sz w:val="20"/>
                <w:lang w:val="fr-CA"/>
              </w:rPr>
              <w:t xml:space="preserve">0 </w:t>
            </w:r>
            <w:r w:rsidRPr="00CD71E6">
              <w:rPr>
                <w:rFonts w:eastAsia="Times New Roman"/>
                <w:color w:val="000000"/>
                <w:kern w:val="0"/>
                <w:sz w:val="20"/>
                <w:lang w:val="fr-CA"/>
                <w14:ligatures w14:val="none"/>
              </w:rPr>
              <w:t>%</w:t>
            </w:r>
          </w:p>
        </w:tc>
      </w:tr>
      <w:tr w:rsidR="00275163" w:rsidRPr="00CD71E6" w14:paraId="12B9056A" w14:textId="77777777" w:rsidTr="00A379D1">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1A148E0B" w14:textId="77777777" w:rsidR="00275163" w:rsidRPr="00CD71E6" w:rsidRDefault="00275163" w:rsidP="00A379D1">
            <w:pPr>
              <w:spacing w:after="0" w:line="240" w:lineRule="auto"/>
              <w:jc w:val="right"/>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Total des catégories d’emploi</w:t>
            </w:r>
          </w:p>
        </w:tc>
        <w:tc>
          <w:tcPr>
            <w:tcW w:w="1120" w:type="dxa"/>
            <w:tcBorders>
              <w:top w:val="single" w:sz="4" w:space="0" w:color="auto"/>
              <w:left w:val="nil"/>
              <w:bottom w:val="single" w:sz="8" w:space="0" w:color="auto"/>
              <w:right w:val="nil"/>
            </w:tcBorders>
            <w:shd w:val="clear" w:color="auto" w:fill="auto"/>
            <w:noWrap/>
            <w:vAlign w:val="center"/>
            <w:hideMark/>
          </w:tcPr>
          <w:p w14:paraId="2199F47F" w14:textId="77777777" w:rsidR="00275163" w:rsidRPr="00CD71E6" w:rsidRDefault="00275163" w:rsidP="00A379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sz w:val="20"/>
                <w:lang w:val="fr-CA"/>
              </w:rPr>
              <w:t>230,10</w:t>
            </w:r>
          </w:p>
        </w:tc>
        <w:tc>
          <w:tcPr>
            <w:tcW w:w="1120" w:type="dxa"/>
            <w:tcBorders>
              <w:top w:val="single" w:sz="4" w:space="0" w:color="auto"/>
              <w:left w:val="nil"/>
              <w:bottom w:val="single" w:sz="8" w:space="0" w:color="auto"/>
              <w:right w:val="nil"/>
            </w:tcBorders>
            <w:shd w:val="clear" w:color="auto" w:fill="auto"/>
            <w:noWrap/>
            <w:vAlign w:val="center"/>
            <w:hideMark/>
          </w:tcPr>
          <w:p w14:paraId="2A455DF7" w14:textId="77777777" w:rsidR="00275163" w:rsidRPr="00CD71E6" w:rsidRDefault="00275163" w:rsidP="00A379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sz w:val="20"/>
                <w:lang w:val="fr-CA"/>
              </w:rPr>
              <w:t>65</w:t>
            </w:r>
            <w:r w:rsidRPr="00CD71E6">
              <w:rPr>
                <w:rFonts w:eastAsia="Times New Roman"/>
                <w:b/>
                <w:bCs/>
                <w:color w:val="000000"/>
                <w:kern w:val="0"/>
                <w:sz w:val="20"/>
                <w:lang w:val="fr-CA"/>
                <w14:ligatures w14:val="none"/>
              </w:rPr>
              <w:t>,1</w:t>
            </w:r>
          </w:p>
        </w:tc>
        <w:tc>
          <w:tcPr>
            <w:tcW w:w="1120" w:type="dxa"/>
            <w:tcBorders>
              <w:top w:val="single" w:sz="4" w:space="0" w:color="auto"/>
              <w:left w:val="nil"/>
              <w:bottom w:val="single" w:sz="8" w:space="0" w:color="auto"/>
              <w:right w:val="nil"/>
            </w:tcBorders>
            <w:shd w:val="clear" w:color="auto" w:fill="auto"/>
            <w:noWrap/>
            <w:vAlign w:val="center"/>
            <w:hideMark/>
          </w:tcPr>
          <w:p w14:paraId="42329E8D" w14:textId="77777777" w:rsidR="00275163" w:rsidRPr="00CD71E6" w:rsidRDefault="00275163" w:rsidP="00A379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sz w:val="20"/>
                <w:lang w:val="fr-CA"/>
              </w:rPr>
              <w:t>165,0</w:t>
            </w:r>
          </w:p>
        </w:tc>
        <w:tc>
          <w:tcPr>
            <w:tcW w:w="1120" w:type="dxa"/>
            <w:tcBorders>
              <w:top w:val="single" w:sz="4" w:space="0" w:color="auto"/>
              <w:left w:val="nil"/>
              <w:bottom w:val="single" w:sz="8" w:space="0" w:color="auto"/>
              <w:right w:val="nil"/>
            </w:tcBorders>
            <w:shd w:val="clear" w:color="auto" w:fill="auto"/>
            <w:noWrap/>
            <w:vAlign w:val="center"/>
            <w:hideMark/>
          </w:tcPr>
          <w:p w14:paraId="2AF96E8D" w14:textId="77777777" w:rsidR="00275163" w:rsidRPr="00CD71E6" w:rsidRDefault="00275163" w:rsidP="00A379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sz w:val="20"/>
                <w:lang w:val="fr-CA"/>
              </w:rPr>
              <w:t xml:space="preserve">72 </w:t>
            </w:r>
            <w:r w:rsidRPr="00CD71E6">
              <w:rPr>
                <w:rFonts w:eastAsia="Times New Roman"/>
                <w:b/>
                <w:bCs/>
                <w:color w:val="000000"/>
                <w:kern w:val="0"/>
                <w:sz w:val="20"/>
                <w:lang w:val="fr-CA"/>
                <w14:ligatures w14:val="none"/>
              </w:rPr>
              <w:t>%</w:t>
            </w:r>
          </w:p>
        </w:tc>
        <w:tc>
          <w:tcPr>
            <w:tcW w:w="1120" w:type="dxa"/>
            <w:tcBorders>
              <w:top w:val="single" w:sz="4" w:space="0" w:color="auto"/>
              <w:left w:val="nil"/>
              <w:bottom w:val="single" w:sz="8" w:space="0" w:color="auto"/>
              <w:right w:val="nil"/>
            </w:tcBorders>
            <w:shd w:val="clear" w:color="auto" w:fill="auto"/>
            <w:noWrap/>
            <w:vAlign w:val="center"/>
            <w:hideMark/>
          </w:tcPr>
          <w:p w14:paraId="3E12DD35" w14:textId="77777777" w:rsidR="00275163" w:rsidRPr="00CD71E6" w:rsidRDefault="00275163" w:rsidP="00A379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sz w:val="20"/>
                <w:lang w:val="fr-CA"/>
              </w:rPr>
              <w:t>90</w:t>
            </w:r>
            <w:r w:rsidRPr="00CD71E6">
              <w:rPr>
                <w:rFonts w:eastAsia="Times New Roman"/>
                <w:b/>
                <w:bCs/>
                <w:color w:val="000000"/>
                <w:kern w:val="0"/>
                <w:sz w:val="20"/>
                <w:lang w:val="fr-CA"/>
                <w14:ligatures w14:val="none"/>
              </w:rPr>
              <w:t>,0</w:t>
            </w:r>
          </w:p>
        </w:tc>
        <w:tc>
          <w:tcPr>
            <w:tcW w:w="1120" w:type="dxa"/>
            <w:tcBorders>
              <w:top w:val="single" w:sz="4" w:space="0" w:color="auto"/>
              <w:left w:val="nil"/>
              <w:bottom w:val="single" w:sz="8" w:space="0" w:color="auto"/>
              <w:right w:val="nil"/>
            </w:tcBorders>
            <w:shd w:val="clear" w:color="auto" w:fill="auto"/>
            <w:noWrap/>
            <w:vAlign w:val="center"/>
            <w:hideMark/>
          </w:tcPr>
          <w:p w14:paraId="74BD06C1" w14:textId="1C799073" w:rsidR="00275163" w:rsidRPr="00CD71E6" w:rsidRDefault="00275163" w:rsidP="00A379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5</w:t>
            </w:r>
            <w:r w:rsidRPr="00CD71E6">
              <w:rPr>
                <w:rFonts w:eastAsia="Times New Roman"/>
                <w:b/>
                <w:bCs/>
                <w:color w:val="000000"/>
                <w:sz w:val="20"/>
                <w:lang w:val="fr-CA"/>
              </w:rPr>
              <w:t xml:space="preserve">5 </w:t>
            </w:r>
            <w:r w:rsidRPr="00CD71E6">
              <w:rPr>
                <w:rFonts w:eastAsia="Times New Roman"/>
                <w:b/>
                <w:bCs/>
                <w:color w:val="000000"/>
                <w:kern w:val="0"/>
                <w:sz w:val="20"/>
                <w:lang w:val="fr-CA"/>
                <w14:ligatures w14:val="none"/>
              </w:rPr>
              <w:t>%</w:t>
            </w:r>
          </w:p>
        </w:tc>
      </w:tr>
    </w:tbl>
    <w:p w14:paraId="22E26930" w14:textId="1BB0AEEB" w:rsidR="0093656E" w:rsidRPr="00CD71E6" w:rsidRDefault="0093656E" w:rsidP="0093656E">
      <w:pPr>
        <w:pStyle w:val="Heading3"/>
        <w:rPr>
          <w:lang w:val="fr-CA"/>
        </w:rPr>
      </w:pPr>
      <w:bookmarkStart w:id="38" w:name="_Toc41053697"/>
      <w:r w:rsidRPr="00CD71E6">
        <w:rPr>
          <w:bCs/>
          <w:lang w:val="fr-CA"/>
        </w:rPr>
        <w:t>Au 31 mars 2017</w:t>
      </w:r>
      <w:bookmarkEnd w:id="38"/>
    </w:p>
    <w:tbl>
      <w:tblPr>
        <w:tblW w:w="9600" w:type="dxa"/>
        <w:tblInd w:w="93" w:type="dxa"/>
        <w:tblLook w:val="04A0" w:firstRow="1" w:lastRow="0" w:firstColumn="1" w:lastColumn="0" w:noHBand="0" w:noVBand="1"/>
      </w:tblPr>
      <w:tblGrid>
        <w:gridCol w:w="1440"/>
        <w:gridCol w:w="1440"/>
        <w:gridCol w:w="1120"/>
        <w:gridCol w:w="1120"/>
        <w:gridCol w:w="1120"/>
        <w:gridCol w:w="1120"/>
        <w:gridCol w:w="1147"/>
        <w:gridCol w:w="1416"/>
      </w:tblGrid>
      <w:tr w:rsidR="00A21AD1" w:rsidRPr="00CD71E6" w14:paraId="1AA3833F" w14:textId="77777777" w:rsidTr="00A21AD1">
        <w:trPr>
          <w:trHeight w:val="300"/>
        </w:trPr>
        <w:tc>
          <w:tcPr>
            <w:tcW w:w="1440" w:type="dxa"/>
            <w:tcBorders>
              <w:top w:val="nil"/>
              <w:left w:val="nil"/>
              <w:bottom w:val="nil"/>
              <w:right w:val="nil"/>
            </w:tcBorders>
            <w:shd w:val="clear" w:color="auto" w:fill="auto"/>
            <w:noWrap/>
            <w:vAlign w:val="bottom"/>
            <w:hideMark/>
          </w:tcPr>
          <w:p w14:paraId="7357AC34" w14:textId="77777777" w:rsidR="00A21AD1" w:rsidRPr="00CD71E6" w:rsidRDefault="00A21AD1" w:rsidP="00A21AD1">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05763929" w14:textId="77777777" w:rsidR="00A21AD1" w:rsidRPr="00CD71E6" w:rsidRDefault="00A21AD1" w:rsidP="00A21AD1">
            <w:pPr>
              <w:spacing w:after="0" w:line="240" w:lineRule="auto"/>
              <w:rPr>
                <w:rFonts w:eastAsia="Times New Roman"/>
                <w:color w:val="000000"/>
                <w:kern w:val="0"/>
                <w:sz w:val="20"/>
                <w:lang w:val="fr-CA"/>
                <w14:ligatures w14:val="none"/>
              </w:rPr>
            </w:pPr>
          </w:p>
        </w:tc>
        <w:tc>
          <w:tcPr>
            <w:tcW w:w="4480" w:type="dxa"/>
            <w:gridSpan w:val="4"/>
            <w:tcBorders>
              <w:top w:val="nil"/>
              <w:left w:val="nil"/>
              <w:bottom w:val="nil"/>
              <w:right w:val="nil"/>
            </w:tcBorders>
            <w:shd w:val="clear" w:color="000000" w:fill="000000"/>
            <w:noWrap/>
            <w:vAlign w:val="center"/>
            <w:hideMark/>
          </w:tcPr>
          <w:p w14:paraId="237B8D86" w14:textId="77777777" w:rsidR="00A21AD1" w:rsidRPr="00CD71E6" w:rsidRDefault="00A21AD1" w:rsidP="00A21AD1">
            <w:pPr>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Nombre total de postes</w:t>
            </w:r>
          </w:p>
        </w:tc>
        <w:tc>
          <w:tcPr>
            <w:tcW w:w="2240" w:type="dxa"/>
            <w:gridSpan w:val="2"/>
            <w:tcBorders>
              <w:top w:val="nil"/>
              <w:left w:val="nil"/>
              <w:bottom w:val="nil"/>
              <w:right w:val="nil"/>
            </w:tcBorders>
            <w:shd w:val="clear" w:color="000000" w:fill="000000"/>
            <w:noWrap/>
            <w:vAlign w:val="center"/>
            <w:hideMark/>
          </w:tcPr>
          <w:p w14:paraId="55F106ED" w14:textId="4895C938" w:rsidR="00A21AD1" w:rsidRPr="00CD71E6" w:rsidRDefault="004B4DDA" w:rsidP="00A21AD1">
            <w:pPr>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Inuits</w:t>
            </w:r>
          </w:p>
        </w:tc>
      </w:tr>
      <w:tr w:rsidR="00A21AD1" w:rsidRPr="00CD71E6" w14:paraId="72C781B7" w14:textId="77777777" w:rsidTr="00A21AD1">
        <w:trPr>
          <w:trHeight w:val="300"/>
        </w:trPr>
        <w:tc>
          <w:tcPr>
            <w:tcW w:w="1440" w:type="dxa"/>
            <w:tcBorders>
              <w:top w:val="nil"/>
              <w:left w:val="nil"/>
              <w:bottom w:val="nil"/>
              <w:right w:val="nil"/>
            </w:tcBorders>
            <w:shd w:val="clear" w:color="auto" w:fill="auto"/>
            <w:noWrap/>
            <w:vAlign w:val="bottom"/>
            <w:hideMark/>
          </w:tcPr>
          <w:p w14:paraId="0DEED6DD" w14:textId="77777777" w:rsidR="00A21AD1" w:rsidRPr="00CD71E6" w:rsidRDefault="00A21AD1" w:rsidP="00A21AD1">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1EB5A0FF" w14:textId="77777777" w:rsidR="00A21AD1" w:rsidRPr="00CD71E6" w:rsidRDefault="00A21AD1" w:rsidP="00A21AD1">
            <w:pPr>
              <w:spacing w:after="0" w:line="240" w:lineRule="auto"/>
              <w:rPr>
                <w:rFonts w:eastAsia="Times New Roman"/>
                <w:color w:val="000000"/>
                <w:kern w:val="0"/>
                <w:sz w:val="20"/>
                <w:lang w:val="fr-CA"/>
                <w14:ligatures w14:val="none"/>
              </w:rPr>
            </w:pPr>
          </w:p>
        </w:tc>
        <w:tc>
          <w:tcPr>
            <w:tcW w:w="1120" w:type="dxa"/>
            <w:vMerge w:val="restart"/>
            <w:tcBorders>
              <w:top w:val="nil"/>
              <w:left w:val="nil"/>
              <w:bottom w:val="nil"/>
              <w:right w:val="nil"/>
            </w:tcBorders>
            <w:shd w:val="clear" w:color="000000" w:fill="000000"/>
            <w:vAlign w:val="bottom"/>
            <w:hideMark/>
          </w:tcPr>
          <w:p w14:paraId="38EE1FC4" w14:textId="77777777" w:rsidR="00A21AD1" w:rsidRPr="00CD71E6" w:rsidRDefault="00A21AD1" w:rsidP="00A21A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Nombre total de postes</w:t>
            </w:r>
          </w:p>
        </w:tc>
        <w:tc>
          <w:tcPr>
            <w:tcW w:w="1120" w:type="dxa"/>
            <w:vMerge w:val="restart"/>
            <w:tcBorders>
              <w:top w:val="nil"/>
              <w:left w:val="nil"/>
              <w:bottom w:val="nil"/>
              <w:right w:val="nil"/>
            </w:tcBorders>
            <w:shd w:val="clear" w:color="000000" w:fill="000000"/>
            <w:vAlign w:val="bottom"/>
            <w:hideMark/>
          </w:tcPr>
          <w:p w14:paraId="224586D5" w14:textId="77777777" w:rsidR="00A21AD1" w:rsidRPr="00CD71E6" w:rsidRDefault="00A21AD1" w:rsidP="00A21A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vacants</w:t>
            </w:r>
          </w:p>
        </w:tc>
        <w:tc>
          <w:tcPr>
            <w:tcW w:w="1120" w:type="dxa"/>
            <w:vMerge w:val="restart"/>
            <w:tcBorders>
              <w:top w:val="nil"/>
              <w:left w:val="nil"/>
              <w:bottom w:val="single" w:sz="8" w:space="0" w:color="000000"/>
              <w:right w:val="nil"/>
            </w:tcBorders>
            <w:shd w:val="clear" w:color="000000" w:fill="000000"/>
            <w:vAlign w:val="bottom"/>
            <w:hideMark/>
          </w:tcPr>
          <w:p w14:paraId="6052710B" w14:textId="77777777" w:rsidR="00A21AD1" w:rsidRPr="00CD71E6" w:rsidRDefault="00A21AD1" w:rsidP="00A21A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pourvus</w:t>
            </w:r>
          </w:p>
        </w:tc>
        <w:tc>
          <w:tcPr>
            <w:tcW w:w="1120" w:type="dxa"/>
            <w:vMerge w:val="restart"/>
            <w:tcBorders>
              <w:top w:val="nil"/>
              <w:left w:val="nil"/>
              <w:bottom w:val="single" w:sz="8" w:space="0" w:color="000000"/>
              <w:right w:val="nil"/>
            </w:tcBorders>
            <w:shd w:val="clear" w:color="000000" w:fill="000000"/>
            <w:vAlign w:val="bottom"/>
            <w:hideMark/>
          </w:tcPr>
          <w:p w14:paraId="55C7A0C4" w14:textId="77777777" w:rsidR="00A21AD1" w:rsidRPr="00CD71E6" w:rsidRDefault="00A21AD1" w:rsidP="00A21A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de la capacité</w:t>
            </w:r>
          </w:p>
        </w:tc>
        <w:tc>
          <w:tcPr>
            <w:tcW w:w="1120" w:type="dxa"/>
            <w:tcBorders>
              <w:top w:val="nil"/>
              <w:left w:val="nil"/>
              <w:bottom w:val="nil"/>
              <w:right w:val="nil"/>
            </w:tcBorders>
            <w:shd w:val="clear" w:color="000000" w:fill="000000"/>
            <w:vAlign w:val="center"/>
            <w:hideMark/>
          </w:tcPr>
          <w:p w14:paraId="666F5D03" w14:textId="77777777" w:rsidR="00A21AD1" w:rsidRPr="00CD71E6" w:rsidRDefault="00A21AD1" w:rsidP="00A21A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c>
          <w:tcPr>
            <w:tcW w:w="1120" w:type="dxa"/>
            <w:tcBorders>
              <w:top w:val="nil"/>
              <w:left w:val="nil"/>
              <w:bottom w:val="nil"/>
              <w:right w:val="nil"/>
            </w:tcBorders>
            <w:shd w:val="clear" w:color="000000" w:fill="000000"/>
            <w:vAlign w:val="center"/>
            <w:hideMark/>
          </w:tcPr>
          <w:p w14:paraId="595025D0" w14:textId="77777777" w:rsidR="00A21AD1" w:rsidRPr="00CD71E6" w:rsidRDefault="00A21AD1" w:rsidP="00A21AD1">
            <w:pPr>
              <w:spacing w:after="0" w:line="240" w:lineRule="auto"/>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r>
      <w:tr w:rsidR="00A21AD1" w:rsidRPr="004373E7" w14:paraId="674755D5" w14:textId="77777777" w:rsidTr="00B01B52">
        <w:trPr>
          <w:trHeight w:val="315"/>
        </w:trPr>
        <w:tc>
          <w:tcPr>
            <w:tcW w:w="1440" w:type="dxa"/>
            <w:tcBorders>
              <w:top w:val="nil"/>
              <w:left w:val="nil"/>
              <w:bottom w:val="nil"/>
              <w:right w:val="nil"/>
            </w:tcBorders>
            <w:shd w:val="clear" w:color="auto" w:fill="auto"/>
            <w:noWrap/>
            <w:vAlign w:val="bottom"/>
            <w:hideMark/>
          </w:tcPr>
          <w:p w14:paraId="6AC82B8F" w14:textId="77777777" w:rsidR="00A21AD1" w:rsidRPr="00CD71E6" w:rsidRDefault="00A21AD1" w:rsidP="00A21AD1">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1C3C0450" w14:textId="77777777" w:rsidR="00A21AD1" w:rsidRPr="00CD71E6" w:rsidRDefault="00A21AD1" w:rsidP="00A21AD1">
            <w:pPr>
              <w:spacing w:after="0" w:line="240" w:lineRule="auto"/>
              <w:rPr>
                <w:rFonts w:eastAsia="Times New Roman"/>
                <w:color w:val="000000"/>
                <w:kern w:val="0"/>
                <w:sz w:val="20"/>
                <w:lang w:val="fr-CA"/>
                <w14:ligatures w14:val="none"/>
              </w:rPr>
            </w:pPr>
          </w:p>
        </w:tc>
        <w:tc>
          <w:tcPr>
            <w:tcW w:w="1120" w:type="dxa"/>
            <w:vMerge/>
            <w:tcBorders>
              <w:top w:val="nil"/>
              <w:left w:val="nil"/>
              <w:bottom w:val="nil"/>
              <w:right w:val="nil"/>
            </w:tcBorders>
            <w:vAlign w:val="center"/>
            <w:hideMark/>
          </w:tcPr>
          <w:p w14:paraId="457E322D" w14:textId="77777777" w:rsidR="00A21AD1" w:rsidRPr="00CD71E6" w:rsidRDefault="00A21AD1" w:rsidP="00A21AD1">
            <w:pPr>
              <w:spacing w:after="0" w:line="240" w:lineRule="auto"/>
              <w:rPr>
                <w:rFonts w:eastAsia="Times New Roman"/>
                <w:color w:val="FFFFFF"/>
                <w:kern w:val="0"/>
                <w:sz w:val="20"/>
                <w:lang w:val="fr-CA"/>
                <w14:ligatures w14:val="none"/>
              </w:rPr>
            </w:pPr>
          </w:p>
        </w:tc>
        <w:tc>
          <w:tcPr>
            <w:tcW w:w="1120" w:type="dxa"/>
            <w:vMerge/>
            <w:tcBorders>
              <w:top w:val="nil"/>
              <w:left w:val="nil"/>
              <w:bottom w:val="nil"/>
              <w:right w:val="nil"/>
            </w:tcBorders>
            <w:vAlign w:val="center"/>
            <w:hideMark/>
          </w:tcPr>
          <w:p w14:paraId="1557BC45" w14:textId="77777777" w:rsidR="00A21AD1" w:rsidRPr="00CD71E6" w:rsidRDefault="00A21AD1" w:rsidP="00A21AD1">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61DE6753" w14:textId="77777777" w:rsidR="00A21AD1" w:rsidRPr="00CD71E6" w:rsidRDefault="00A21AD1" w:rsidP="00A21AD1">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2C2EC733" w14:textId="77777777" w:rsidR="00A21AD1" w:rsidRPr="00CD71E6" w:rsidRDefault="00A21AD1" w:rsidP="00A21AD1">
            <w:pPr>
              <w:spacing w:after="0" w:line="240" w:lineRule="auto"/>
              <w:rPr>
                <w:rFonts w:eastAsia="Times New Roman"/>
                <w:color w:val="FFFFFF"/>
                <w:kern w:val="0"/>
                <w:sz w:val="20"/>
                <w:lang w:val="fr-CA"/>
                <w14:ligatures w14:val="none"/>
              </w:rPr>
            </w:pPr>
          </w:p>
        </w:tc>
        <w:tc>
          <w:tcPr>
            <w:tcW w:w="1120" w:type="dxa"/>
            <w:tcBorders>
              <w:top w:val="nil"/>
              <w:left w:val="nil"/>
              <w:bottom w:val="nil"/>
              <w:right w:val="nil"/>
            </w:tcBorders>
            <w:shd w:val="clear" w:color="000000" w:fill="000000"/>
            <w:vAlign w:val="bottom"/>
            <w:hideMark/>
          </w:tcPr>
          <w:p w14:paraId="199CC686" w14:textId="77777777" w:rsidR="00A21AD1" w:rsidRPr="00CD71E6" w:rsidRDefault="00A21AD1" w:rsidP="000B2E62">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Embauchés</w:t>
            </w:r>
          </w:p>
        </w:tc>
        <w:tc>
          <w:tcPr>
            <w:tcW w:w="1120" w:type="dxa"/>
            <w:tcBorders>
              <w:top w:val="nil"/>
              <w:left w:val="nil"/>
              <w:bottom w:val="single" w:sz="8" w:space="0" w:color="auto"/>
              <w:right w:val="nil"/>
            </w:tcBorders>
            <w:shd w:val="clear" w:color="000000" w:fill="000000"/>
            <w:vAlign w:val="center"/>
            <w:hideMark/>
          </w:tcPr>
          <w:p w14:paraId="2E78B1BC" w14:textId="77777777" w:rsidR="00A21AD1" w:rsidRPr="00CD71E6" w:rsidRDefault="00A21AD1" w:rsidP="00A21A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du plan d’embauchage des Inuits</w:t>
            </w:r>
          </w:p>
        </w:tc>
      </w:tr>
      <w:tr w:rsidR="00A21AD1" w:rsidRPr="00CD71E6" w14:paraId="2149C608"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36B4B2BB" w14:textId="77777777" w:rsidR="00A21AD1" w:rsidRPr="00CD71E6" w:rsidRDefault="00A21AD1"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direction</w:t>
            </w:r>
          </w:p>
        </w:tc>
        <w:tc>
          <w:tcPr>
            <w:tcW w:w="1120" w:type="dxa"/>
            <w:tcBorders>
              <w:top w:val="single" w:sz="8" w:space="0" w:color="auto"/>
              <w:left w:val="nil"/>
              <w:bottom w:val="nil"/>
              <w:right w:val="nil"/>
            </w:tcBorders>
            <w:shd w:val="clear" w:color="auto" w:fill="auto"/>
            <w:noWrap/>
            <w:vAlign w:val="center"/>
            <w:hideMark/>
          </w:tcPr>
          <w:p w14:paraId="4D398E6B"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single" w:sz="8" w:space="0" w:color="auto"/>
              <w:left w:val="nil"/>
              <w:bottom w:val="nil"/>
              <w:right w:val="nil"/>
            </w:tcBorders>
            <w:shd w:val="clear" w:color="auto" w:fill="auto"/>
            <w:noWrap/>
            <w:vAlign w:val="center"/>
            <w:hideMark/>
          </w:tcPr>
          <w:p w14:paraId="34197A96"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0,0</w:t>
            </w:r>
          </w:p>
        </w:tc>
        <w:tc>
          <w:tcPr>
            <w:tcW w:w="1120" w:type="dxa"/>
            <w:tcBorders>
              <w:top w:val="nil"/>
              <w:left w:val="nil"/>
              <w:bottom w:val="nil"/>
              <w:right w:val="nil"/>
            </w:tcBorders>
            <w:shd w:val="clear" w:color="auto" w:fill="auto"/>
            <w:noWrap/>
            <w:vAlign w:val="center"/>
            <w:hideMark/>
          </w:tcPr>
          <w:p w14:paraId="50808C8E"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nil"/>
              <w:left w:val="nil"/>
              <w:bottom w:val="nil"/>
              <w:right w:val="nil"/>
            </w:tcBorders>
            <w:shd w:val="clear" w:color="auto" w:fill="auto"/>
            <w:noWrap/>
            <w:vAlign w:val="center"/>
            <w:hideMark/>
          </w:tcPr>
          <w:p w14:paraId="6E9D0909"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c>
          <w:tcPr>
            <w:tcW w:w="1120" w:type="dxa"/>
            <w:tcBorders>
              <w:top w:val="single" w:sz="8" w:space="0" w:color="auto"/>
              <w:left w:val="nil"/>
              <w:bottom w:val="nil"/>
              <w:right w:val="nil"/>
            </w:tcBorders>
            <w:shd w:val="clear" w:color="auto" w:fill="auto"/>
            <w:noWrap/>
            <w:vAlign w:val="center"/>
            <w:hideMark/>
          </w:tcPr>
          <w:p w14:paraId="19709C3A"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w:t>
            </w:r>
          </w:p>
        </w:tc>
        <w:tc>
          <w:tcPr>
            <w:tcW w:w="1120" w:type="dxa"/>
            <w:tcBorders>
              <w:top w:val="nil"/>
              <w:left w:val="nil"/>
              <w:bottom w:val="nil"/>
              <w:right w:val="nil"/>
            </w:tcBorders>
            <w:shd w:val="clear" w:color="auto" w:fill="auto"/>
            <w:noWrap/>
            <w:vAlign w:val="center"/>
            <w:hideMark/>
          </w:tcPr>
          <w:p w14:paraId="10261D96"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50 %</w:t>
            </w:r>
          </w:p>
        </w:tc>
      </w:tr>
      <w:tr w:rsidR="00A21AD1" w:rsidRPr="00CD71E6" w14:paraId="54F083C1"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63EDFC6" w14:textId="77777777" w:rsidR="00A21AD1" w:rsidRPr="00CD71E6" w:rsidRDefault="00A21AD1"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supérieurs</w:t>
            </w:r>
          </w:p>
        </w:tc>
        <w:tc>
          <w:tcPr>
            <w:tcW w:w="1120" w:type="dxa"/>
            <w:tcBorders>
              <w:top w:val="nil"/>
              <w:left w:val="nil"/>
              <w:bottom w:val="nil"/>
              <w:right w:val="nil"/>
            </w:tcBorders>
            <w:shd w:val="clear" w:color="auto" w:fill="auto"/>
            <w:noWrap/>
            <w:vAlign w:val="center"/>
            <w:hideMark/>
          </w:tcPr>
          <w:p w14:paraId="551B719D"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w:t>
            </w:r>
          </w:p>
        </w:tc>
        <w:tc>
          <w:tcPr>
            <w:tcW w:w="1120" w:type="dxa"/>
            <w:tcBorders>
              <w:top w:val="nil"/>
              <w:left w:val="nil"/>
              <w:bottom w:val="nil"/>
              <w:right w:val="nil"/>
            </w:tcBorders>
            <w:shd w:val="clear" w:color="auto" w:fill="auto"/>
            <w:noWrap/>
            <w:vAlign w:val="center"/>
            <w:hideMark/>
          </w:tcPr>
          <w:p w14:paraId="18E28734"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nil"/>
              <w:left w:val="nil"/>
              <w:bottom w:val="nil"/>
              <w:right w:val="nil"/>
            </w:tcBorders>
            <w:shd w:val="clear" w:color="auto" w:fill="auto"/>
            <w:noWrap/>
            <w:vAlign w:val="center"/>
            <w:hideMark/>
          </w:tcPr>
          <w:p w14:paraId="45699056" w14:textId="622BABF1" w:rsidR="00A21AD1" w:rsidRPr="00CD71E6" w:rsidRDefault="00A21AD1" w:rsidP="000B2E62">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w:t>
            </w:r>
            <w:r w:rsidR="000B2E62">
              <w:rPr>
                <w:rFonts w:eastAsia="Times New Roman"/>
                <w:color w:val="000000"/>
                <w:kern w:val="0"/>
                <w:sz w:val="20"/>
                <w:lang w:val="fr-CA"/>
                <w14:ligatures w14:val="none"/>
              </w:rPr>
              <w:t>,</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7DD300CA"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71 %</w:t>
            </w:r>
          </w:p>
        </w:tc>
        <w:tc>
          <w:tcPr>
            <w:tcW w:w="1120" w:type="dxa"/>
            <w:tcBorders>
              <w:top w:val="nil"/>
              <w:left w:val="nil"/>
              <w:bottom w:val="nil"/>
              <w:right w:val="nil"/>
            </w:tcBorders>
            <w:shd w:val="clear" w:color="auto" w:fill="auto"/>
            <w:noWrap/>
            <w:vAlign w:val="center"/>
            <w:hideMark/>
          </w:tcPr>
          <w:p w14:paraId="22D24583"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nil"/>
              <w:left w:val="nil"/>
              <w:bottom w:val="nil"/>
              <w:right w:val="nil"/>
            </w:tcBorders>
            <w:shd w:val="clear" w:color="auto" w:fill="auto"/>
            <w:noWrap/>
            <w:vAlign w:val="center"/>
            <w:hideMark/>
          </w:tcPr>
          <w:p w14:paraId="77C17D4A"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40 %</w:t>
            </w:r>
          </w:p>
        </w:tc>
      </w:tr>
      <w:tr w:rsidR="00A21AD1" w:rsidRPr="00CD71E6" w14:paraId="20CBDE5C"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9FB7754" w14:textId="77777777" w:rsidR="00A21AD1" w:rsidRPr="00CD71E6" w:rsidRDefault="00A21AD1"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intermédiaires</w:t>
            </w:r>
          </w:p>
        </w:tc>
        <w:tc>
          <w:tcPr>
            <w:tcW w:w="1120" w:type="dxa"/>
            <w:tcBorders>
              <w:top w:val="nil"/>
              <w:left w:val="nil"/>
              <w:bottom w:val="nil"/>
              <w:right w:val="nil"/>
            </w:tcBorders>
            <w:shd w:val="clear" w:color="auto" w:fill="auto"/>
            <w:noWrap/>
            <w:vAlign w:val="center"/>
            <w:hideMark/>
          </w:tcPr>
          <w:p w14:paraId="2F1DA0CB"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27,0</w:t>
            </w:r>
          </w:p>
        </w:tc>
        <w:tc>
          <w:tcPr>
            <w:tcW w:w="1120" w:type="dxa"/>
            <w:tcBorders>
              <w:top w:val="nil"/>
              <w:left w:val="nil"/>
              <w:bottom w:val="nil"/>
              <w:right w:val="nil"/>
            </w:tcBorders>
            <w:shd w:val="clear" w:color="auto" w:fill="auto"/>
            <w:noWrap/>
            <w:vAlign w:val="center"/>
            <w:hideMark/>
          </w:tcPr>
          <w:p w14:paraId="1EAE45F8"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4,0</w:t>
            </w:r>
          </w:p>
        </w:tc>
        <w:tc>
          <w:tcPr>
            <w:tcW w:w="1120" w:type="dxa"/>
            <w:tcBorders>
              <w:top w:val="nil"/>
              <w:left w:val="nil"/>
              <w:bottom w:val="nil"/>
              <w:right w:val="nil"/>
            </w:tcBorders>
            <w:shd w:val="clear" w:color="auto" w:fill="auto"/>
            <w:noWrap/>
            <w:vAlign w:val="center"/>
            <w:hideMark/>
          </w:tcPr>
          <w:p w14:paraId="1EBEF3BE"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23,0</w:t>
            </w:r>
          </w:p>
        </w:tc>
        <w:tc>
          <w:tcPr>
            <w:tcW w:w="1120" w:type="dxa"/>
            <w:tcBorders>
              <w:top w:val="nil"/>
              <w:left w:val="nil"/>
              <w:bottom w:val="nil"/>
              <w:right w:val="nil"/>
            </w:tcBorders>
            <w:shd w:val="clear" w:color="auto" w:fill="auto"/>
            <w:noWrap/>
            <w:vAlign w:val="center"/>
            <w:hideMark/>
          </w:tcPr>
          <w:p w14:paraId="1E997FCA"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85 %</w:t>
            </w:r>
          </w:p>
        </w:tc>
        <w:tc>
          <w:tcPr>
            <w:tcW w:w="1120" w:type="dxa"/>
            <w:tcBorders>
              <w:top w:val="nil"/>
              <w:left w:val="nil"/>
              <w:bottom w:val="nil"/>
              <w:right w:val="nil"/>
            </w:tcBorders>
            <w:shd w:val="clear" w:color="auto" w:fill="auto"/>
            <w:noWrap/>
            <w:vAlign w:val="center"/>
            <w:hideMark/>
          </w:tcPr>
          <w:p w14:paraId="01C831F7"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9,0</w:t>
            </w:r>
          </w:p>
        </w:tc>
        <w:tc>
          <w:tcPr>
            <w:tcW w:w="1120" w:type="dxa"/>
            <w:tcBorders>
              <w:top w:val="nil"/>
              <w:left w:val="nil"/>
              <w:bottom w:val="nil"/>
              <w:right w:val="nil"/>
            </w:tcBorders>
            <w:shd w:val="clear" w:color="auto" w:fill="auto"/>
            <w:noWrap/>
            <w:vAlign w:val="center"/>
            <w:hideMark/>
          </w:tcPr>
          <w:p w14:paraId="78319271"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39 %</w:t>
            </w:r>
          </w:p>
        </w:tc>
      </w:tr>
      <w:tr w:rsidR="00A21AD1" w:rsidRPr="00CD71E6" w14:paraId="25C618A0"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481E29A4" w14:textId="77777777" w:rsidR="00A21AD1" w:rsidRPr="00CD71E6" w:rsidRDefault="00A21AD1"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professionnels</w:t>
            </w:r>
          </w:p>
        </w:tc>
        <w:tc>
          <w:tcPr>
            <w:tcW w:w="1120" w:type="dxa"/>
            <w:tcBorders>
              <w:top w:val="nil"/>
              <w:left w:val="nil"/>
              <w:bottom w:val="nil"/>
              <w:right w:val="nil"/>
            </w:tcBorders>
            <w:shd w:val="clear" w:color="auto" w:fill="auto"/>
            <w:noWrap/>
            <w:vAlign w:val="center"/>
            <w:hideMark/>
          </w:tcPr>
          <w:p w14:paraId="48305796"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121,1</w:t>
            </w:r>
          </w:p>
        </w:tc>
        <w:tc>
          <w:tcPr>
            <w:tcW w:w="1120" w:type="dxa"/>
            <w:tcBorders>
              <w:top w:val="nil"/>
              <w:left w:val="nil"/>
              <w:bottom w:val="nil"/>
              <w:right w:val="nil"/>
            </w:tcBorders>
            <w:shd w:val="clear" w:color="auto" w:fill="auto"/>
            <w:noWrap/>
            <w:vAlign w:val="center"/>
            <w:hideMark/>
          </w:tcPr>
          <w:p w14:paraId="019CFBA0"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25,6</w:t>
            </w:r>
          </w:p>
        </w:tc>
        <w:tc>
          <w:tcPr>
            <w:tcW w:w="1120" w:type="dxa"/>
            <w:tcBorders>
              <w:top w:val="nil"/>
              <w:left w:val="nil"/>
              <w:bottom w:val="nil"/>
              <w:right w:val="nil"/>
            </w:tcBorders>
            <w:shd w:val="clear" w:color="auto" w:fill="auto"/>
            <w:noWrap/>
            <w:vAlign w:val="center"/>
            <w:hideMark/>
          </w:tcPr>
          <w:p w14:paraId="7E6DCC56"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95,5</w:t>
            </w:r>
          </w:p>
        </w:tc>
        <w:tc>
          <w:tcPr>
            <w:tcW w:w="1120" w:type="dxa"/>
            <w:tcBorders>
              <w:top w:val="nil"/>
              <w:left w:val="nil"/>
              <w:bottom w:val="nil"/>
              <w:right w:val="nil"/>
            </w:tcBorders>
            <w:shd w:val="clear" w:color="auto" w:fill="auto"/>
            <w:noWrap/>
            <w:vAlign w:val="center"/>
            <w:hideMark/>
          </w:tcPr>
          <w:p w14:paraId="55450DAE"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79 %</w:t>
            </w:r>
          </w:p>
        </w:tc>
        <w:tc>
          <w:tcPr>
            <w:tcW w:w="1120" w:type="dxa"/>
            <w:tcBorders>
              <w:top w:val="nil"/>
              <w:left w:val="nil"/>
              <w:bottom w:val="nil"/>
              <w:right w:val="nil"/>
            </w:tcBorders>
            <w:shd w:val="clear" w:color="auto" w:fill="auto"/>
            <w:noWrap/>
            <w:vAlign w:val="center"/>
            <w:hideMark/>
          </w:tcPr>
          <w:p w14:paraId="552ABCFA"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37,0</w:t>
            </w:r>
          </w:p>
        </w:tc>
        <w:tc>
          <w:tcPr>
            <w:tcW w:w="1120" w:type="dxa"/>
            <w:tcBorders>
              <w:top w:val="nil"/>
              <w:left w:val="nil"/>
              <w:bottom w:val="nil"/>
              <w:right w:val="nil"/>
            </w:tcBorders>
            <w:shd w:val="clear" w:color="auto" w:fill="auto"/>
            <w:noWrap/>
            <w:vAlign w:val="center"/>
            <w:hideMark/>
          </w:tcPr>
          <w:p w14:paraId="63A0AAD2"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39 %</w:t>
            </w:r>
          </w:p>
        </w:tc>
      </w:tr>
      <w:tr w:rsidR="00A21AD1" w:rsidRPr="00CD71E6" w14:paraId="04D8210D"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3BAB7FE7" w14:textId="77777777" w:rsidR="00A21AD1" w:rsidRPr="00CD71E6" w:rsidRDefault="00A21AD1"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paraprofessionnels</w:t>
            </w:r>
          </w:p>
        </w:tc>
        <w:tc>
          <w:tcPr>
            <w:tcW w:w="1120" w:type="dxa"/>
            <w:tcBorders>
              <w:top w:val="nil"/>
              <w:left w:val="nil"/>
              <w:bottom w:val="nil"/>
              <w:right w:val="nil"/>
            </w:tcBorders>
            <w:shd w:val="clear" w:color="auto" w:fill="auto"/>
            <w:noWrap/>
            <w:vAlign w:val="center"/>
            <w:hideMark/>
          </w:tcPr>
          <w:p w14:paraId="3D568939"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21,5</w:t>
            </w:r>
          </w:p>
        </w:tc>
        <w:tc>
          <w:tcPr>
            <w:tcW w:w="1120" w:type="dxa"/>
            <w:tcBorders>
              <w:top w:val="nil"/>
              <w:left w:val="nil"/>
              <w:bottom w:val="nil"/>
              <w:right w:val="nil"/>
            </w:tcBorders>
            <w:shd w:val="clear" w:color="auto" w:fill="auto"/>
            <w:noWrap/>
            <w:vAlign w:val="center"/>
            <w:hideMark/>
          </w:tcPr>
          <w:p w14:paraId="3BDB3469"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3,5</w:t>
            </w:r>
          </w:p>
        </w:tc>
        <w:tc>
          <w:tcPr>
            <w:tcW w:w="1120" w:type="dxa"/>
            <w:tcBorders>
              <w:top w:val="nil"/>
              <w:left w:val="nil"/>
              <w:bottom w:val="nil"/>
              <w:right w:val="nil"/>
            </w:tcBorders>
            <w:shd w:val="clear" w:color="auto" w:fill="auto"/>
            <w:noWrap/>
            <w:vAlign w:val="center"/>
            <w:hideMark/>
          </w:tcPr>
          <w:p w14:paraId="63767EC7"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18,0</w:t>
            </w:r>
          </w:p>
        </w:tc>
        <w:tc>
          <w:tcPr>
            <w:tcW w:w="1120" w:type="dxa"/>
            <w:tcBorders>
              <w:top w:val="nil"/>
              <w:left w:val="nil"/>
              <w:bottom w:val="nil"/>
              <w:right w:val="nil"/>
            </w:tcBorders>
            <w:shd w:val="clear" w:color="auto" w:fill="auto"/>
            <w:noWrap/>
            <w:vAlign w:val="center"/>
            <w:hideMark/>
          </w:tcPr>
          <w:p w14:paraId="53EA81F1"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84 %</w:t>
            </w:r>
          </w:p>
        </w:tc>
        <w:tc>
          <w:tcPr>
            <w:tcW w:w="1120" w:type="dxa"/>
            <w:tcBorders>
              <w:top w:val="nil"/>
              <w:left w:val="nil"/>
              <w:bottom w:val="nil"/>
              <w:right w:val="nil"/>
            </w:tcBorders>
            <w:shd w:val="clear" w:color="auto" w:fill="auto"/>
            <w:noWrap/>
            <w:vAlign w:val="center"/>
            <w:hideMark/>
          </w:tcPr>
          <w:p w14:paraId="6687D8BC"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12,0</w:t>
            </w:r>
          </w:p>
        </w:tc>
        <w:tc>
          <w:tcPr>
            <w:tcW w:w="1120" w:type="dxa"/>
            <w:tcBorders>
              <w:top w:val="nil"/>
              <w:left w:val="nil"/>
              <w:bottom w:val="nil"/>
              <w:right w:val="nil"/>
            </w:tcBorders>
            <w:shd w:val="clear" w:color="auto" w:fill="auto"/>
            <w:noWrap/>
            <w:vAlign w:val="center"/>
            <w:hideMark/>
          </w:tcPr>
          <w:p w14:paraId="04928A81"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67 %</w:t>
            </w:r>
          </w:p>
        </w:tc>
      </w:tr>
      <w:tr w:rsidR="00A21AD1" w:rsidRPr="00CD71E6" w14:paraId="08A32B02"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7278AD50" w14:textId="77777777" w:rsidR="00A21AD1" w:rsidRPr="00CD71E6" w:rsidRDefault="00A21AD1"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du soutien administratif</w:t>
            </w:r>
          </w:p>
        </w:tc>
        <w:tc>
          <w:tcPr>
            <w:tcW w:w="1120" w:type="dxa"/>
            <w:tcBorders>
              <w:top w:val="nil"/>
              <w:left w:val="nil"/>
              <w:bottom w:val="nil"/>
              <w:right w:val="nil"/>
            </w:tcBorders>
            <w:shd w:val="clear" w:color="auto" w:fill="auto"/>
            <w:noWrap/>
            <w:vAlign w:val="center"/>
            <w:hideMark/>
          </w:tcPr>
          <w:p w14:paraId="1A9DBBBE"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44,0</w:t>
            </w:r>
          </w:p>
        </w:tc>
        <w:tc>
          <w:tcPr>
            <w:tcW w:w="1120" w:type="dxa"/>
            <w:tcBorders>
              <w:top w:val="nil"/>
              <w:left w:val="nil"/>
              <w:bottom w:val="nil"/>
              <w:right w:val="nil"/>
            </w:tcBorders>
            <w:shd w:val="clear" w:color="auto" w:fill="auto"/>
            <w:noWrap/>
            <w:vAlign w:val="center"/>
            <w:hideMark/>
          </w:tcPr>
          <w:p w14:paraId="30382E3C"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w:t>
            </w:r>
          </w:p>
        </w:tc>
        <w:tc>
          <w:tcPr>
            <w:tcW w:w="1120" w:type="dxa"/>
            <w:tcBorders>
              <w:top w:val="nil"/>
              <w:left w:val="nil"/>
              <w:bottom w:val="nil"/>
              <w:right w:val="nil"/>
            </w:tcBorders>
            <w:shd w:val="clear" w:color="auto" w:fill="auto"/>
            <w:noWrap/>
            <w:vAlign w:val="center"/>
            <w:hideMark/>
          </w:tcPr>
          <w:p w14:paraId="76526ED6"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37,0</w:t>
            </w:r>
          </w:p>
        </w:tc>
        <w:tc>
          <w:tcPr>
            <w:tcW w:w="1120" w:type="dxa"/>
            <w:tcBorders>
              <w:top w:val="nil"/>
              <w:left w:val="nil"/>
              <w:bottom w:val="nil"/>
              <w:right w:val="nil"/>
            </w:tcBorders>
            <w:shd w:val="clear" w:color="auto" w:fill="auto"/>
            <w:noWrap/>
            <w:vAlign w:val="center"/>
            <w:hideMark/>
          </w:tcPr>
          <w:p w14:paraId="53730D0A"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84 %</w:t>
            </w:r>
          </w:p>
        </w:tc>
        <w:tc>
          <w:tcPr>
            <w:tcW w:w="1120" w:type="dxa"/>
            <w:tcBorders>
              <w:top w:val="nil"/>
              <w:left w:val="nil"/>
              <w:bottom w:val="nil"/>
              <w:right w:val="nil"/>
            </w:tcBorders>
            <w:shd w:val="clear" w:color="auto" w:fill="auto"/>
            <w:noWrap/>
            <w:vAlign w:val="center"/>
            <w:hideMark/>
          </w:tcPr>
          <w:p w14:paraId="7FC817DD"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34,0</w:t>
            </w:r>
          </w:p>
        </w:tc>
        <w:tc>
          <w:tcPr>
            <w:tcW w:w="1120" w:type="dxa"/>
            <w:tcBorders>
              <w:top w:val="nil"/>
              <w:left w:val="nil"/>
              <w:bottom w:val="nil"/>
              <w:right w:val="nil"/>
            </w:tcBorders>
            <w:shd w:val="clear" w:color="auto" w:fill="auto"/>
            <w:noWrap/>
            <w:vAlign w:val="center"/>
            <w:hideMark/>
          </w:tcPr>
          <w:p w14:paraId="3A487451"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92 %</w:t>
            </w:r>
          </w:p>
        </w:tc>
      </w:tr>
      <w:tr w:rsidR="00A21AD1" w:rsidRPr="00CD71E6" w14:paraId="74EB04D0" w14:textId="77777777" w:rsidTr="00A21AD1">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76B5AE8F" w14:textId="77777777" w:rsidR="00A21AD1" w:rsidRPr="00CD71E6" w:rsidRDefault="00A21AD1" w:rsidP="00A21AD1">
            <w:pPr>
              <w:spacing w:after="0" w:line="240" w:lineRule="auto"/>
              <w:jc w:val="right"/>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Total des catégories d’emploi</w:t>
            </w:r>
          </w:p>
        </w:tc>
        <w:tc>
          <w:tcPr>
            <w:tcW w:w="1120" w:type="dxa"/>
            <w:tcBorders>
              <w:top w:val="single" w:sz="4" w:space="0" w:color="auto"/>
              <w:left w:val="nil"/>
              <w:bottom w:val="single" w:sz="8" w:space="0" w:color="auto"/>
              <w:right w:val="nil"/>
            </w:tcBorders>
            <w:shd w:val="clear" w:color="auto" w:fill="auto"/>
            <w:noWrap/>
            <w:vAlign w:val="center"/>
            <w:hideMark/>
          </w:tcPr>
          <w:p w14:paraId="32F6A50D" w14:textId="77777777" w:rsidR="00A21AD1" w:rsidRPr="00CD71E6" w:rsidRDefault="00A21AD1" w:rsidP="00A21A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222,6</w:t>
            </w:r>
          </w:p>
        </w:tc>
        <w:tc>
          <w:tcPr>
            <w:tcW w:w="1120" w:type="dxa"/>
            <w:tcBorders>
              <w:top w:val="single" w:sz="4" w:space="0" w:color="auto"/>
              <w:left w:val="nil"/>
              <w:bottom w:val="single" w:sz="8" w:space="0" w:color="auto"/>
              <w:right w:val="nil"/>
            </w:tcBorders>
            <w:shd w:val="clear" w:color="auto" w:fill="auto"/>
            <w:noWrap/>
            <w:vAlign w:val="center"/>
            <w:hideMark/>
          </w:tcPr>
          <w:p w14:paraId="3B26BC5D" w14:textId="77777777" w:rsidR="00A21AD1" w:rsidRPr="00CD71E6" w:rsidRDefault="00A21AD1" w:rsidP="00A21A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42,1</w:t>
            </w:r>
          </w:p>
        </w:tc>
        <w:tc>
          <w:tcPr>
            <w:tcW w:w="1120" w:type="dxa"/>
            <w:tcBorders>
              <w:top w:val="single" w:sz="4" w:space="0" w:color="auto"/>
              <w:left w:val="nil"/>
              <w:bottom w:val="single" w:sz="8" w:space="0" w:color="auto"/>
              <w:right w:val="nil"/>
            </w:tcBorders>
            <w:shd w:val="clear" w:color="auto" w:fill="auto"/>
            <w:noWrap/>
            <w:vAlign w:val="center"/>
            <w:hideMark/>
          </w:tcPr>
          <w:p w14:paraId="5815110D" w14:textId="77777777" w:rsidR="00A21AD1" w:rsidRPr="00CD71E6" w:rsidRDefault="00A21AD1" w:rsidP="00A21A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180,5</w:t>
            </w:r>
          </w:p>
        </w:tc>
        <w:tc>
          <w:tcPr>
            <w:tcW w:w="1120" w:type="dxa"/>
            <w:tcBorders>
              <w:top w:val="single" w:sz="4" w:space="0" w:color="auto"/>
              <w:left w:val="nil"/>
              <w:bottom w:val="single" w:sz="8" w:space="0" w:color="auto"/>
              <w:right w:val="nil"/>
            </w:tcBorders>
            <w:shd w:val="clear" w:color="auto" w:fill="auto"/>
            <w:noWrap/>
            <w:vAlign w:val="center"/>
            <w:hideMark/>
          </w:tcPr>
          <w:p w14:paraId="3B3C14B0" w14:textId="77777777" w:rsidR="00A21AD1" w:rsidRPr="00CD71E6" w:rsidRDefault="00A21AD1" w:rsidP="00A21A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81 %</w:t>
            </w:r>
          </w:p>
        </w:tc>
        <w:tc>
          <w:tcPr>
            <w:tcW w:w="1120" w:type="dxa"/>
            <w:tcBorders>
              <w:top w:val="single" w:sz="4" w:space="0" w:color="auto"/>
              <w:left w:val="nil"/>
              <w:bottom w:val="single" w:sz="8" w:space="0" w:color="auto"/>
              <w:right w:val="nil"/>
            </w:tcBorders>
            <w:shd w:val="clear" w:color="auto" w:fill="auto"/>
            <w:noWrap/>
            <w:vAlign w:val="center"/>
            <w:hideMark/>
          </w:tcPr>
          <w:p w14:paraId="0AF26C2C" w14:textId="77777777" w:rsidR="00A21AD1" w:rsidRPr="00CD71E6" w:rsidRDefault="00A21AD1" w:rsidP="00A21A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95,0</w:t>
            </w:r>
          </w:p>
        </w:tc>
        <w:tc>
          <w:tcPr>
            <w:tcW w:w="1120" w:type="dxa"/>
            <w:tcBorders>
              <w:top w:val="single" w:sz="4" w:space="0" w:color="auto"/>
              <w:left w:val="nil"/>
              <w:bottom w:val="single" w:sz="8" w:space="0" w:color="auto"/>
              <w:right w:val="nil"/>
            </w:tcBorders>
            <w:shd w:val="clear" w:color="auto" w:fill="auto"/>
            <w:noWrap/>
            <w:vAlign w:val="center"/>
            <w:hideMark/>
          </w:tcPr>
          <w:p w14:paraId="112C8B5C" w14:textId="77777777" w:rsidR="00A21AD1" w:rsidRPr="00CD71E6" w:rsidRDefault="00A21AD1" w:rsidP="00A21A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53 %</w:t>
            </w:r>
          </w:p>
        </w:tc>
      </w:tr>
    </w:tbl>
    <w:p w14:paraId="2E221E87" w14:textId="77777777" w:rsidR="007D4FDA" w:rsidRPr="00CD71E6" w:rsidRDefault="007D4FDA" w:rsidP="007D4FDA">
      <w:pPr>
        <w:rPr>
          <w:lang w:val="fr-CA"/>
        </w:rPr>
      </w:pPr>
    </w:p>
    <w:p w14:paraId="60928EFB" w14:textId="6F551561" w:rsidR="0093656E" w:rsidRPr="00CD71E6" w:rsidRDefault="0093656E" w:rsidP="0093656E">
      <w:pPr>
        <w:pStyle w:val="Heading3"/>
        <w:rPr>
          <w:lang w:val="fr-CA"/>
        </w:rPr>
      </w:pPr>
      <w:bookmarkStart w:id="39" w:name="_Toc41053698"/>
      <w:r w:rsidRPr="00CD71E6">
        <w:rPr>
          <w:bCs/>
          <w:lang w:val="fr-CA"/>
        </w:rPr>
        <w:lastRenderedPageBreak/>
        <w:t>Au 31 mars 2016</w:t>
      </w:r>
      <w:bookmarkEnd w:id="39"/>
    </w:p>
    <w:tbl>
      <w:tblPr>
        <w:tblW w:w="9600" w:type="dxa"/>
        <w:tblInd w:w="93" w:type="dxa"/>
        <w:tblLook w:val="04A0" w:firstRow="1" w:lastRow="0" w:firstColumn="1" w:lastColumn="0" w:noHBand="0" w:noVBand="1"/>
      </w:tblPr>
      <w:tblGrid>
        <w:gridCol w:w="1440"/>
        <w:gridCol w:w="1440"/>
        <w:gridCol w:w="1120"/>
        <w:gridCol w:w="1120"/>
        <w:gridCol w:w="1120"/>
        <w:gridCol w:w="1120"/>
        <w:gridCol w:w="1147"/>
        <w:gridCol w:w="1416"/>
      </w:tblGrid>
      <w:tr w:rsidR="00A21AD1" w:rsidRPr="00CD71E6" w14:paraId="4B25C20A" w14:textId="77777777" w:rsidTr="00A21AD1">
        <w:trPr>
          <w:trHeight w:val="300"/>
        </w:trPr>
        <w:tc>
          <w:tcPr>
            <w:tcW w:w="1440" w:type="dxa"/>
            <w:tcBorders>
              <w:top w:val="nil"/>
              <w:left w:val="nil"/>
              <w:bottom w:val="nil"/>
              <w:right w:val="nil"/>
            </w:tcBorders>
            <w:shd w:val="clear" w:color="auto" w:fill="auto"/>
            <w:noWrap/>
            <w:vAlign w:val="bottom"/>
            <w:hideMark/>
          </w:tcPr>
          <w:p w14:paraId="7A7F1C53" w14:textId="77777777" w:rsidR="00A21AD1" w:rsidRPr="00CD71E6" w:rsidRDefault="00A21AD1" w:rsidP="00A21AD1">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796E96BB" w14:textId="77777777" w:rsidR="00A21AD1" w:rsidRPr="00CD71E6" w:rsidRDefault="00A21AD1" w:rsidP="00A21AD1">
            <w:pPr>
              <w:spacing w:after="0" w:line="240" w:lineRule="auto"/>
              <w:rPr>
                <w:rFonts w:eastAsia="Times New Roman"/>
                <w:color w:val="000000"/>
                <w:kern w:val="0"/>
                <w:sz w:val="20"/>
                <w:lang w:val="fr-CA"/>
                <w14:ligatures w14:val="none"/>
              </w:rPr>
            </w:pPr>
          </w:p>
        </w:tc>
        <w:tc>
          <w:tcPr>
            <w:tcW w:w="4480" w:type="dxa"/>
            <w:gridSpan w:val="4"/>
            <w:tcBorders>
              <w:top w:val="nil"/>
              <w:left w:val="nil"/>
              <w:bottom w:val="nil"/>
              <w:right w:val="nil"/>
            </w:tcBorders>
            <w:shd w:val="clear" w:color="000000" w:fill="000000"/>
            <w:noWrap/>
            <w:vAlign w:val="center"/>
            <w:hideMark/>
          </w:tcPr>
          <w:p w14:paraId="22998A6F" w14:textId="77777777" w:rsidR="00A21AD1" w:rsidRPr="00CD71E6" w:rsidRDefault="00A21AD1" w:rsidP="00A21AD1">
            <w:pPr>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Nombre total de postes</w:t>
            </w:r>
          </w:p>
        </w:tc>
        <w:tc>
          <w:tcPr>
            <w:tcW w:w="2240" w:type="dxa"/>
            <w:gridSpan w:val="2"/>
            <w:tcBorders>
              <w:top w:val="nil"/>
              <w:left w:val="nil"/>
              <w:bottom w:val="nil"/>
              <w:right w:val="nil"/>
            </w:tcBorders>
            <w:shd w:val="clear" w:color="000000" w:fill="000000"/>
            <w:noWrap/>
            <w:vAlign w:val="center"/>
            <w:hideMark/>
          </w:tcPr>
          <w:p w14:paraId="77607998" w14:textId="2529FACA" w:rsidR="00A21AD1" w:rsidRPr="00CD71E6" w:rsidRDefault="004B4DDA" w:rsidP="00A21AD1">
            <w:pPr>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Inuits</w:t>
            </w:r>
          </w:p>
        </w:tc>
      </w:tr>
      <w:tr w:rsidR="00A21AD1" w:rsidRPr="00CD71E6" w14:paraId="11169959" w14:textId="77777777" w:rsidTr="00A21AD1">
        <w:trPr>
          <w:trHeight w:val="300"/>
        </w:trPr>
        <w:tc>
          <w:tcPr>
            <w:tcW w:w="1440" w:type="dxa"/>
            <w:tcBorders>
              <w:top w:val="nil"/>
              <w:left w:val="nil"/>
              <w:bottom w:val="nil"/>
              <w:right w:val="nil"/>
            </w:tcBorders>
            <w:shd w:val="clear" w:color="auto" w:fill="auto"/>
            <w:noWrap/>
            <w:vAlign w:val="bottom"/>
            <w:hideMark/>
          </w:tcPr>
          <w:p w14:paraId="0291E336" w14:textId="77777777" w:rsidR="00A21AD1" w:rsidRPr="00CD71E6" w:rsidRDefault="00A21AD1" w:rsidP="00A21AD1">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31C63F79" w14:textId="77777777" w:rsidR="00A21AD1" w:rsidRPr="00CD71E6" w:rsidRDefault="00A21AD1" w:rsidP="00A21AD1">
            <w:pPr>
              <w:spacing w:after="0" w:line="240" w:lineRule="auto"/>
              <w:rPr>
                <w:rFonts w:eastAsia="Times New Roman"/>
                <w:color w:val="000000"/>
                <w:kern w:val="0"/>
                <w:sz w:val="20"/>
                <w:lang w:val="fr-CA"/>
                <w14:ligatures w14:val="none"/>
              </w:rPr>
            </w:pPr>
          </w:p>
        </w:tc>
        <w:tc>
          <w:tcPr>
            <w:tcW w:w="1120" w:type="dxa"/>
            <w:vMerge w:val="restart"/>
            <w:tcBorders>
              <w:top w:val="nil"/>
              <w:left w:val="nil"/>
              <w:bottom w:val="nil"/>
              <w:right w:val="nil"/>
            </w:tcBorders>
            <w:shd w:val="clear" w:color="000000" w:fill="000000"/>
            <w:vAlign w:val="bottom"/>
            <w:hideMark/>
          </w:tcPr>
          <w:p w14:paraId="1D7DC8EC" w14:textId="77777777" w:rsidR="00A21AD1" w:rsidRPr="00CD71E6" w:rsidRDefault="00A21AD1" w:rsidP="00A21A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Nombre total de postes</w:t>
            </w:r>
          </w:p>
        </w:tc>
        <w:tc>
          <w:tcPr>
            <w:tcW w:w="1120" w:type="dxa"/>
            <w:vMerge w:val="restart"/>
            <w:tcBorders>
              <w:top w:val="nil"/>
              <w:left w:val="nil"/>
              <w:bottom w:val="nil"/>
              <w:right w:val="nil"/>
            </w:tcBorders>
            <w:shd w:val="clear" w:color="000000" w:fill="000000"/>
            <w:vAlign w:val="bottom"/>
            <w:hideMark/>
          </w:tcPr>
          <w:p w14:paraId="7D91C68B" w14:textId="77777777" w:rsidR="00A21AD1" w:rsidRPr="00CD71E6" w:rsidRDefault="00A21AD1" w:rsidP="00A21A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vacants</w:t>
            </w:r>
          </w:p>
        </w:tc>
        <w:tc>
          <w:tcPr>
            <w:tcW w:w="1120" w:type="dxa"/>
            <w:vMerge w:val="restart"/>
            <w:tcBorders>
              <w:top w:val="nil"/>
              <w:left w:val="nil"/>
              <w:bottom w:val="single" w:sz="8" w:space="0" w:color="000000"/>
              <w:right w:val="nil"/>
            </w:tcBorders>
            <w:shd w:val="clear" w:color="000000" w:fill="000000"/>
            <w:vAlign w:val="bottom"/>
            <w:hideMark/>
          </w:tcPr>
          <w:p w14:paraId="5C7AC745" w14:textId="77777777" w:rsidR="00A21AD1" w:rsidRPr="00CD71E6" w:rsidRDefault="00A21AD1" w:rsidP="00A21A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pourvus</w:t>
            </w:r>
          </w:p>
        </w:tc>
        <w:tc>
          <w:tcPr>
            <w:tcW w:w="1120" w:type="dxa"/>
            <w:vMerge w:val="restart"/>
            <w:tcBorders>
              <w:top w:val="nil"/>
              <w:left w:val="nil"/>
              <w:bottom w:val="single" w:sz="8" w:space="0" w:color="000000"/>
              <w:right w:val="nil"/>
            </w:tcBorders>
            <w:shd w:val="clear" w:color="000000" w:fill="000000"/>
            <w:vAlign w:val="bottom"/>
            <w:hideMark/>
          </w:tcPr>
          <w:p w14:paraId="6D3B76CF" w14:textId="77777777" w:rsidR="00A21AD1" w:rsidRPr="00CD71E6" w:rsidRDefault="00A21AD1" w:rsidP="00A21A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de la capacité</w:t>
            </w:r>
          </w:p>
        </w:tc>
        <w:tc>
          <w:tcPr>
            <w:tcW w:w="1120" w:type="dxa"/>
            <w:tcBorders>
              <w:top w:val="nil"/>
              <w:left w:val="nil"/>
              <w:bottom w:val="nil"/>
              <w:right w:val="nil"/>
            </w:tcBorders>
            <w:shd w:val="clear" w:color="000000" w:fill="000000"/>
            <w:vAlign w:val="center"/>
            <w:hideMark/>
          </w:tcPr>
          <w:p w14:paraId="1D49CDC0" w14:textId="77777777" w:rsidR="00A21AD1" w:rsidRPr="00CD71E6" w:rsidRDefault="00A21AD1" w:rsidP="00A21A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c>
          <w:tcPr>
            <w:tcW w:w="1120" w:type="dxa"/>
            <w:tcBorders>
              <w:top w:val="nil"/>
              <w:left w:val="nil"/>
              <w:bottom w:val="nil"/>
              <w:right w:val="nil"/>
            </w:tcBorders>
            <w:shd w:val="clear" w:color="000000" w:fill="000000"/>
            <w:vAlign w:val="center"/>
            <w:hideMark/>
          </w:tcPr>
          <w:p w14:paraId="3366FD77" w14:textId="77777777" w:rsidR="00A21AD1" w:rsidRPr="00CD71E6" w:rsidRDefault="00A21AD1" w:rsidP="00A21AD1">
            <w:pPr>
              <w:spacing w:after="0" w:line="240" w:lineRule="auto"/>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r>
      <w:tr w:rsidR="00A21AD1" w:rsidRPr="004373E7" w14:paraId="6A4FD98B" w14:textId="77777777" w:rsidTr="00B01B52">
        <w:trPr>
          <w:trHeight w:val="315"/>
        </w:trPr>
        <w:tc>
          <w:tcPr>
            <w:tcW w:w="1440" w:type="dxa"/>
            <w:tcBorders>
              <w:top w:val="nil"/>
              <w:left w:val="nil"/>
              <w:bottom w:val="nil"/>
              <w:right w:val="nil"/>
            </w:tcBorders>
            <w:shd w:val="clear" w:color="auto" w:fill="auto"/>
            <w:noWrap/>
            <w:vAlign w:val="bottom"/>
            <w:hideMark/>
          </w:tcPr>
          <w:p w14:paraId="2B059A04" w14:textId="77777777" w:rsidR="00A21AD1" w:rsidRPr="00CD71E6" w:rsidRDefault="00A21AD1" w:rsidP="00A21AD1">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10F24527" w14:textId="77777777" w:rsidR="00A21AD1" w:rsidRPr="00CD71E6" w:rsidRDefault="00A21AD1" w:rsidP="00A21AD1">
            <w:pPr>
              <w:spacing w:after="0" w:line="240" w:lineRule="auto"/>
              <w:rPr>
                <w:rFonts w:eastAsia="Times New Roman"/>
                <w:color w:val="000000"/>
                <w:kern w:val="0"/>
                <w:sz w:val="20"/>
                <w:lang w:val="fr-CA"/>
                <w14:ligatures w14:val="none"/>
              </w:rPr>
            </w:pPr>
          </w:p>
        </w:tc>
        <w:tc>
          <w:tcPr>
            <w:tcW w:w="1120" w:type="dxa"/>
            <w:vMerge/>
            <w:tcBorders>
              <w:top w:val="nil"/>
              <w:left w:val="nil"/>
              <w:bottom w:val="nil"/>
              <w:right w:val="nil"/>
            </w:tcBorders>
            <w:vAlign w:val="center"/>
            <w:hideMark/>
          </w:tcPr>
          <w:p w14:paraId="39539766" w14:textId="77777777" w:rsidR="00A21AD1" w:rsidRPr="00CD71E6" w:rsidRDefault="00A21AD1" w:rsidP="00A21AD1">
            <w:pPr>
              <w:spacing w:after="0" w:line="240" w:lineRule="auto"/>
              <w:rPr>
                <w:rFonts w:eastAsia="Times New Roman"/>
                <w:color w:val="FFFFFF"/>
                <w:kern w:val="0"/>
                <w:sz w:val="20"/>
                <w:lang w:val="fr-CA"/>
                <w14:ligatures w14:val="none"/>
              </w:rPr>
            </w:pPr>
          </w:p>
        </w:tc>
        <w:tc>
          <w:tcPr>
            <w:tcW w:w="1120" w:type="dxa"/>
            <w:vMerge/>
            <w:tcBorders>
              <w:top w:val="nil"/>
              <w:left w:val="nil"/>
              <w:bottom w:val="nil"/>
              <w:right w:val="nil"/>
            </w:tcBorders>
            <w:vAlign w:val="center"/>
            <w:hideMark/>
          </w:tcPr>
          <w:p w14:paraId="56E400AA" w14:textId="77777777" w:rsidR="00A21AD1" w:rsidRPr="00CD71E6" w:rsidRDefault="00A21AD1" w:rsidP="00A21AD1">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03FA6715" w14:textId="77777777" w:rsidR="00A21AD1" w:rsidRPr="00CD71E6" w:rsidRDefault="00A21AD1" w:rsidP="00A21AD1">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385144A1" w14:textId="77777777" w:rsidR="00A21AD1" w:rsidRPr="00CD71E6" w:rsidRDefault="00A21AD1" w:rsidP="00A21AD1">
            <w:pPr>
              <w:spacing w:after="0" w:line="240" w:lineRule="auto"/>
              <w:rPr>
                <w:rFonts w:eastAsia="Times New Roman"/>
                <w:color w:val="FFFFFF"/>
                <w:kern w:val="0"/>
                <w:sz w:val="20"/>
                <w:lang w:val="fr-CA"/>
                <w14:ligatures w14:val="none"/>
              </w:rPr>
            </w:pPr>
          </w:p>
        </w:tc>
        <w:tc>
          <w:tcPr>
            <w:tcW w:w="1120" w:type="dxa"/>
            <w:tcBorders>
              <w:top w:val="nil"/>
              <w:left w:val="nil"/>
              <w:bottom w:val="nil"/>
              <w:right w:val="nil"/>
            </w:tcBorders>
            <w:shd w:val="clear" w:color="000000" w:fill="000000"/>
            <w:vAlign w:val="bottom"/>
            <w:hideMark/>
          </w:tcPr>
          <w:p w14:paraId="20C2B094" w14:textId="77777777" w:rsidR="00A21AD1" w:rsidRPr="00CD71E6" w:rsidRDefault="00A21AD1" w:rsidP="000B2E62">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Embauchés</w:t>
            </w:r>
          </w:p>
        </w:tc>
        <w:tc>
          <w:tcPr>
            <w:tcW w:w="1120" w:type="dxa"/>
            <w:tcBorders>
              <w:top w:val="nil"/>
              <w:left w:val="nil"/>
              <w:bottom w:val="single" w:sz="8" w:space="0" w:color="auto"/>
              <w:right w:val="nil"/>
            </w:tcBorders>
            <w:shd w:val="clear" w:color="000000" w:fill="000000"/>
            <w:vAlign w:val="center"/>
            <w:hideMark/>
          </w:tcPr>
          <w:p w14:paraId="67FCDA4E" w14:textId="77777777" w:rsidR="00A21AD1" w:rsidRPr="00CD71E6" w:rsidRDefault="00A21AD1" w:rsidP="00A21AD1">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du plan d’embauchage des Inuits</w:t>
            </w:r>
          </w:p>
        </w:tc>
      </w:tr>
      <w:tr w:rsidR="00A21AD1" w:rsidRPr="00CD71E6" w14:paraId="2F6DAF92"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1459A954" w14:textId="77777777" w:rsidR="00A21AD1" w:rsidRPr="00CD71E6" w:rsidRDefault="00A21AD1"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direction</w:t>
            </w:r>
          </w:p>
        </w:tc>
        <w:tc>
          <w:tcPr>
            <w:tcW w:w="1120" w:type="dxa"/>
            <w:tcBorders>
              <w:top w:val="single" w:sz="8" w:space="0" w:color="auto"/>
              <w:left w:val="nil"/>
              <w:bottom w:val="nil"/>
              <w:right w:val="nil"/>
            </w:tcBorders>
            <w:shd w:val="clear" w:color="auto" w:fill="auto"/>
            <w:noWrap/>
            <w:vAlign w:val="center"/>
            <w:hideMark/>
          </w:tcPr>
          <w:p w14:paraId="4EC1AA58"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w:t>
            </w:r>
          </w:p>
        </w:tc>
        <w:tc>
          <w:tcPr>
            <w:tcW w:w="1120" w:type="dxa"/>
            <w:tcBorders>
              <w:top w:val="single" w:sz="8" w:space="0" w:color="auto"/>
              <w:left w:val="nil"/>
              <w:bottom w:val="nil"/>
              <w:right w:val="nil"/>
            </w:tcBorders>
            <w:shd w:val="clear" w:color="auto" w:fill="auto"/>
            <w:noWrap/>
            <w:vAlign w:val="center"/>
            <w:hideMark/>
          </w:tcPr>
          <w:p w14:paraId="76B0DFF6"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0,0</w:t>
            </w:r>
          </w:p>
        </w:tc>
        <w:tc>
          <w:tcPr>
            <w:tcW w:w="1120" w:type="dxa"/>
            <w:tcBorders>
              <w:top w:val="nil"/>
              <w:left w:val="nil"/>
              <w:bottom w:val="nil"/>
              <w:right w:val="nil"/>
            </w:tcBorders>
            <w:shd w:val="clear" w:color="auto" w:fill="auto"/>
            <w:noWrap/>
            <w:vAlign w:val="center"/>
            <w:hideMark/>
          </w:tcPr>
          <w:p w14:paraId="7A8CD314"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w:t>
            </w:r>
          </w:p>
        </w:tc>
        <w:tc>
          <w:tcPr>
            <w:tcW w:w="1120" w:type="dxa"/>
            <w:tcBorders>
              <w:top w:val="nil"/>
              <w:left w:val="nil"/>
              <w:bottom w:val="nil"/>
              <w:right w:val="nil"/>
            </w:tcBorders>
            <w:shd w:val="clear" w:color="auto" w:fill="auto"/>
            <w:noWrap/>
            <w:vAlign w:val="center"/>
            <w:hideMark/>
          </w:tcPr>
          <w:p w14:paraId="078AAA11"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c>
          <w:tcPr>
            <w:tcW w:w="1120" w:type="dxa"/>
            <w:tcBorders>
              <w:top w:val="single" w:sz="8" w:space="0" w:color="auto"/>
              <w:left w:val="nil"/>
              <w:bottom w:val="nil"/>
              <w:right w:val="nil"/>
            </w:tcBorders>
            <w:shd w:val="clear" w:color="auto" w:fill="auto"/>
            <w:noWrap/>
            <w:vAlign w:val="center"/>
            <w:hideMark/>
          </w:tcPr>
          <w:p w14:paraId="6DAB1521"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w:t>
            </w:r>
          </w:p>
        </w:tc>
        <w:tc>
          <w:tcPr>
            <w:tcW w:w="1120" w:type="dxa"/>
            <w:tcBorders>
              <w:top w:val="nil"/>
              <w:left w:val="nil"/>
              <w:bottom w:val="nil"/>
              <w:right w:val="nil"/>
            </w:tcBorders>
            <w:shd w:val="clear" w:color="auto" w:fill="auto"/>
            <w:noWrap/>
            <w:vAlign w:val="center"/>
            <w:hideMark/>
          </w:tcPr>
          <w:p w14:paraId="575693B7"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r>
      <w:tr w:rsidR="00A21AD1" w:rsidRPr="00CD71E6" w14:paraId="56A9C2CD"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1DF53095" w14:textId="77777777" w:rsidR="00A21AD1" w:rsidRPr="00CD71E6" w:rsidRDefault="00A21AD1"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supérieurs</w:t>
            </w:r>
          </w:p>
        </w:tc>
        <w:tc>
          <w:tcPr>
            <w:tcW w:w="1120" w:type="dxa"/>
            <w:tcBorders>
              <w:top w:val="nil"/>
              <w:left w:val="nil"/>
              <w:bottom w:val="nil"/>
              <w:right w:val="nil"/>
            </w:tcBorders>
            <w:shd w:val="clear" w:color="auto" w:fill="auto"/>
            <w:noWrap/>
            <w:vAlign w:val="center"/>
            <w:hideMark/>
          </w:tcPr>
          <w:p w14:paraId="625594FA"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w:t>
            </w:r>
          </w:p>
        </w:tc>
        <w:tc>
          <w:tcPr>
            <w:tcW w:w="1120" w:type="dxa"/>
            <w:tcBorders>
              <w:top w:val="nil"/>
              <w:left w:val="nil"/>
              <w:bottom w:val="nil"/>
              <w:right w:val="nil"/>
            </w:tcBorders>
            <w:shd w:val="clear" w:color="auto" w:fill="auto"/>
            <w:noWrap/>
            <w:vAlign w:val="center"/>
            <w:hideMark/>
          </w:tcPr>
          <w:p w14:paraId="0841144A"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0,0</w:t>
            </w:r>
          </w:p>
        </w:tc>
        <w:tc>
          <w:tcPr>
            <w:tcW w:w="1120" w:type="dxa"/>
            <w:tcBorders>
              <w:top w:val="nil"/>
              <w:left w:val="nil"/>
              <w:bottom w:val="nil"/>
              <w:right w:val="nil"/>
            </w:tcBorders>
            <w:shd w:val="clear" w:color="auto" w:fill="auto"/>
            <w:noWrap/>
            <w:vAlign w:val="center"/>
            <w:hideMark/>
          </w:tcPr>
          <w:p w14:paraId="43B409B7"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w:t>
            </w:r>
          </w:p>
        </w:tc>
        <w:tc>
          <w:tcPr>
            <w:tcW w:w="1120" w:type="dxa"/>
            <w:tcBorders>
              <w:top w:val="nil"/>
              <w:left w:val="nil"/>
              <w:bottom w:val="nil"/>
              <w:right w:val="nil"/>
            </w:tcBorders>
            <w:shd w:val="clear" w:color="auto" w:fill="auto"/>
            <w:noWrap/>
            <w:vAlign w:val="center"/>
            <w:hideMark/>
          </w:tcPr>
          <w:p w14:paraId="6CE5791C"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c>
          <w:tcPr>
            <w:tcW w:w="1120" w:type="dxa"/>
            <w:tcBorders>
              <w:top w:val="nil"/>
              <w:left w:val="nil"/>
              <w:bottom w:val="nil"/>
              <w:right w:val="nil"/>
            </w:tcBorders>
            <w:shd w:val="clear" w:color="auto" w:fill="auto"/>
            <w:noWrap/>
            <w:vAlign w:val="center"/>
            <w:hideMark/>
          </w:tcPr>
          <w:p w14:paraId="3A6419E3"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3,0</w:t>
            </w:r>
          </w:p>
        </w:tc>
        <w:tc>
          <w:tcPr>
            <w:tcW w:w="1120" w:type="dxa"/>
            <w:tcBorders>
              <w:top w:val="nil"/>
              <w:left w:val="nil"/>
              <w:bottom w:val="nil"/>
              <w:right w:val="nil"/>
            </w:tcBorders>
            <w:shd w:val="clear" w:color="auto" w:fill="auto"/>
            <w:noWrap/>
            <w:vAlign w:val="center"/>
            <w:hideMark/>
          </w:tcPr>
          <w:p w14:paraId="2D41F6E7"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43 %</w:t>
            </w:r>
          </w:p>
        </w:tc>
      </w:tr>
      <w:tr w:rsidR="00A21AD1" w:rsidRPr="00CD71E6" w14:paraId="641F3278"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49A305DE" w14:textId="77777777" w:rsidR="00A21AD1" w:rsidRPr="00CD71E6" w:rsidRDefault="00A21AD1"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intermédiaires</w:t>
            </w:r>
          </w:p>
        </w:tc>
        <w:tc>
          <w:tcPr>
            <w:tcW w:w="1120" w:type="dxa"/>
            <w:tcBorders>
              <w:top w:val="nil"/>
              <w:left w:val="nil"/>
              <w:bottom w:val="nil"/>
              <w:right w:val="nil"/>
            </w:tcBorders>
            <w:shd w:val="clear" w:color="auto" w:fill="auto"/>
            <w:noWrap/>
            <w:vAlign w:val="center"/>
            <w:hideMark/>
          </w:tcPr>
          <w:p w14:paraId="0E24F5DC"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26,0</w:t>
            </w:r>
          </w:p>
        </w:tc>
        <w:tc>
          <w:tcPr>
            <w:tcW w:w="1120" w:type="dxa"/>
            <w:tcBorders>
              <w:top w:val="nil"/>
              <w:left w:val="nil"/>
              <w:bottom w:val="nil"/>
              <w:right w:val="nil"/>
            </w:tcBorders>
            <w:shd w:val="clear" w:color="auto" w:fill="auto"/>
            <w:noWrap/>
            <w:vAlign w:val="center"/>
            <w:hideMark/>
          </w:tcPr>
          <w:p w14:paraId="3AF8B517"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3,0</w:t>
            </w:r>
          </w:p>
        </w:tc>
        <w:tc>
          <w:tcPr>
            <w:tcW w:w="1120" w:type="dxa"/>
            <w:tcBorders>
              <w:top w:val="nil"/>
              <w:left w:val="nil"/>
              <w:bottom w:val="nil"/>
              <w:right w:val="nil"/>
            </w:tcBorders>
            <w:shd w:val="clear" w:color="auto" w:fill="auto"/>
            <w:noWrap/>
            <w:vAlign w:val="center"/>
            <w:hideMark/>
          </w:tcPr>
          <w:p w14:paraId="724807B9"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23,0</w:t>
            </w:r>
          </w:p>
        </w:tc>
        <w:tc>
          <w:tcPr>
            <w:tcW w:w="1120" w:type="dxa"/>
            <w:tcBorders>
              <w:top w:val="nil"/>
              <w:left w:val="nil"/>
              <w:bottom w:val="nil"/>
              <w:right w:val="nil"/>
            </w:tcBorders>
            <w:shd w:val="clear" w:color="auto" w:fill="auto"/>
            <w:noWrap/>
            <w:vAlign w:val="center"/>
            <w:hideMark/>
          </w:tcPr>
          <w:p w14:paraId="505D3247"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88 %</w:t>
            </w:r>
          </w:p>
        </w:tc>
        <w:tc>
          <w:tcPr>
            <w:tcW w:w="1120" w:type="dxa"/>
            <w:tcBorders>
              <w:top w:val="nil"/>
              <w:left w:val="nil"/>
              <w:bottom w:val="nil"/>
              <w:right w:val="nil"/>
            </w:tcBorders>
            <w:shd w:val="clear" w:color="auto" w:fill="auto"/>
            <w:noWrap/>
            <w:vAlign w:val="center"/>
            <w:hideMark/>
          </w:tcPr>
          <w:p w14:paraId="225EA131"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9,0</w:t>
            </w:r>
          </w:p>
        </w:tc>
        <w:tc>
          <w:tcPr>
            <w:tcW w:w="1120" w:type="dxa"/>
            <w:tcBorders>
              <w:top w:val="nil"/>
              <w:left w:val="nil"/>
              <w:bottom w:val="nil"/>
              <w:right w:val="nil"/>
            </w:tcBorders>
            <w:shd w:val="clear" w:color="auto" w:fill="auto"/>
            <w:noWrap/>
            <w:vAlign w:val="center"/>
            <w:hideMark/>
          </w:tcPr>
          <w:p w14:paraId="235A8EA6"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39 %</w:t>
            </w:r>
          </w:p>
        </w:tc>
      </w:tr>
      <w:tr w:rsidR="00A21AD1" w:rsidRPr="00CD71E6" w14:paraId="6F74C27B"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1BE02054" w14:textId="77777777" w:rsidR="00A21AD1" w:rsidRPr="00CD71E6" w:rsidRDefault="00A21AD1"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professionnels</w:t>
            </w:r>
          </w:p>
        </w:tc>
        <w:tc>
          <w:tcPr>
            <w:tcW w:w="1120" w:type="dxa"/>
            <w:tcBorders>
              <w:top w:val="nil"/>
              <w:left w:val="nil"/>
              <w:bottom w:val="nil"/>
              <w:right w:val="nil"/>
            </w:tcBorders>
            <w:shd w:val="clear" w:color="auto" w:fill="auto"/>
            <w:noWrap/>
            <w:vAlign w:val="center"/>
            <w:hideMark/>
          </w:tcPr>
          <w:p w14:paraId="0044FE3A"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124,6</w:t>
            </w:r>
          </w:p>
        </w:tc>
        <w:tc>
          <w:tcPr>
            <w:tcW w:w="1120" w:type="dxa"/>
            <w:tcBorders>
              <w:top w:val="nil"/>
              <w:left w:val="nil"/>
              <w:bottom w:val="nil"/>
              <w:right w:val="nil"/>
            </w:tcBorders>
            <w:shd w:val="clear" w:color="auto" w:fill="auto"/>
            <w:noWrap/>
            <w:vAlign w:val="center"/>
            <w:hideMark/>
          </w:tcPr>
          <w:p w14:paraId="71D9A406"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32,6</w:t>
            </w:r>
          </w:p>
        </w:tc>
        <w:tc>
          <w:tcPr>
            <w:tcW w:w="1120" w:type="dxa"/>
            <w:tcBorders>
              <w:top w:val="nil"/>
              <w:left w:val="nil"/>
              <w:bottom w:val="nil"/>
              <w:right w:val="nil"/>
            </w:tcBorders>
            <w:shd w:val="clear" w:color="auto" w:fill="auto"/>
            <w:noWrap/>
            <w:vAlign w:val="center"/>
            <w:hideMark/>
          </w:tcPr>
          <w:p w14:paraId="457679C9"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92,0</w:t>
            </w:r>
          </w:p>
        </w:tc>
        <w:tc>
          <w:tcPr>
            <w:tcW w:w="1120" w:type="dxa"/>
            <w:tcBorders>
              <w:top w:val="nil"/>
              <w:left w:val="nil"/>
              <w:bottom w:val="nil"/>
              <w:right w:val="nil"/>
            </w:tcBorders>
            <w:shd w:val="clear" w:color="auto" w:fill="auto"/>
            <w:noWrap/>
            <w:vAlign w:val="center"/>
            <w:hideMark/>
          </w:tcPr>
          <w:p w14:paraId="6D2AE29E"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74 %</w:t>
            </w:r>
          </w:p>
        </w:tc>
        <w:tc>
          <w:tcPr>
            <w:tcW w:w="1120" w:type="dxa"/>
            <w:tcBorders>
              <w:top w:val="nil"/>
              <w:left w:val="nil"/>
              <w:bottom w:val="nil"/>
              <w:right w:val="nil"/>
            </w:tcBorders>
            <w:shd w:val="clear" w:color="auto" w:fill="auto"/>
            <w:noWrap/>
            <w:vAlign w:val="center"/>
            <w:hideMark/>
          </w:tcPr>
          <w:p w14:paraId="2144B5FF"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41,0</w:t>
            </w:r>
          </w:p>
        </w:tc>
        <w:tc>
          <w:tcPr>
            <w:tcW w:w="1120" w:type="dxa"/>
            <w:tcBorders>
              <w:top w:val="nil"/>
              <w:left w:val="nil"/>
              <w:bottom w:val="nil"/>
              <w:right w:val="nil"/>
            </w:tcBorders>
            <w:shd w:val="clear" w:color="auto" w:fill="auto"/>
            <w:noWrap/>
            <w:vAlign w:val="center"/>
            <w:hideMark/>
          </w:tcPr>
          <w:p w14:paraId="6406AF02"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45 %</w:t>
            </w:r>
          </w:p>
        </w:tc>
      </w:tr>
      <w:tr w:rsidR="00A21AD1" w:rsidRPr="00CD71E6" w14:paraId="2C18A59F"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6D55D1F5" w14:textId="77777777" w:rsidR="00A21AD1" w:rsidRPr="00CD71E6" w:rsidRDefault="00A21AD1"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paraprofessionnels</w:t>
            </w:r>
          </w:p>
        </w:tc>
        <w:tc>
          <w:tcPr>
            <w:tcW w:w="1120" w:type="dxa"/>
            <w:tcBorders>
              <w:top w:val="nil"/>
              <w:left w:val="nil"/>
              <w:bottom w:val="nil"/>
              <w:right w:val="nil"/>
            </w:tcBorders>
            <w:shd w:val="clear" w:color="auto" w:fill="auto"/>
            <w:noWrap/>
            <w:vAlign w:val="center"/>
            <w:hideMark/>
          </w:tcPr>
          <w:p w14:paraId="106485CA"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20,5</w:t>
            </w:r>
          </w:p>
        </w:tc>
        <w:tc>
          <w:tcPr>
            <w:tcW w:w="1120" w:type="dxa"/>
            <w:tcBorders>
              <w:top w:val="nil"/>
              <w:left w:val="nil"/>
              <w:bottom w:val="nil"/>
              <w:right w:val="nil"/>
            </w:tcBorders>
            <w:shd w:val="clear" w:color="auto" w:fill="auto"/>
            <w:noWrap/>
            <w:vAlign w:val="center"/>
            <w:hideMark/>
          </w:tcPr>
          <w:p w14:paraId="7B6D4B81" w14:textId="407028F9" w:rsidR="00A21AD1" w:rsidRPr="00CD71E6" w:rsidRDefault="00A21AD1" w:rsidP="000B2E62">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w:t>
            </w:r>
            <w:r w:rsidR="000B2E62">
              <w:rPr>
                <w:rFonts w:eastAsia="Times New Roman"/>
                <w:color w:val="000000"/>
                <w:kern w:val="0"/>
                <w:sz w:val="20"/>
                <w:lang w:val="fr-CA"/>
                <w14:ligatures w14:val="none"/>
              </w:rPr>
              <w:t>,</w:t>
            </w:r>
            <w:r w:rsidRPr="00CD71E6">
              <w:rPr>
                <w:rFonts w:eastAsia="Times New Roman"/>
                <w:color w:val="000000"/>
                <w:kern w:val="0"/>
                <w:sz w:val="20"/>
                <w:lang w:val="fr-CA"/>
                <w14:ligatures w14:val="none"/>
              </w:rPr>
              <w:t>5</w:t>
            </w:r>
          </w:p>
        </w:tc>
        <w:tc>
          <w:tcPr>
            <w:tcW w:w="1120" w:type="dxa"/>
            <w:tcBorders>
              <w:top w:val="nil"/>
              <w:left w:val="nil"/>
              <w:bottom w:val="nil"/>
              <w:right w:val="nil"/>
            </w:tcBorders>
            <w:shd w:val="clear" w:color="auto" w:fill="auto"/>
            <w:noWrap/>
            <w:vAlign w:val="center"/>
            <w:hideMark/>
          </w:tcPr>
          <w:p w14:paraId="2AF68BC0"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15,0</w:t>
            </w:r>
          </w:p>
        </w:tc>
        <w:tc>
          <w:tcPr>
            <w:tcW w:w="1120" w:type="dxa"/>
            <w:tcBorders>
              <w:top w:val="nil"/>
              <w:left w:val="nil"/>
              <w:bottom w:val="nil"/>
              <w:right w:val="nil"/>
            </w:tcBorders>
            <w:shd w:val="clear" w:color="auto" w:fill="auto"/>
            <w:noWrap/>
            <w:vAlign w:val="center"/>
            <w:hideMark/>
          </w:tcPr>
          <w:p w14:paraId="4F5C1034"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73 %</w:t>
            </w:r>
          </w:p>
        </w:tc>
        <w:tc>
          <w:tcPr>
            <w:tcW w:w="1120" w:type="dxa"/>
            <w:tcBorders>
              <w:top w:val="nil"/>
              <w:left w:val="nil"/>
              <w:bottom w:val="nil"/>
              <w:right w:val="nil"/>
            </w:tcBorders>
            <w:shd w:val="clear" w:color="auto" w:fill="auto"/>
            <w:noWrap/>
            <w:vAlign w:val="center"/>
            <w:hideMark/>
          </w:tcPr>
          <w:p w14:paraId="19E6715C"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9,0</w:t>
            </w:r>
          </w:p>
        </w:tc>
        <w:tc>
          <w:tcPr>
            <w:tcW w:w="1120" w:type="dxa"/>
            <w:tcBorders>
              <w:top w:val="nil"/>
              <w:left w:val="nil"/>
              <w:bottom w:val="nil"/>
              <w:right w:val="nil"/>
            </w:tcBorders>
            <w:shd w:val="clear" w:color="auto" w:fill="auto"/>
            <w:noWrap/>
            <w:vAlign w:val="center"/>
            <w:hideMark/>
          </w:tcPr>
          <w:p w14:paraId="3897A16D"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60 %</w:t>
            </w:r>
          </w:p>
        </w:tc>
      </w:tr>
      <w:tr w:rsidR="00A21AD1" w:rsidRPr="00CD71E6" w14:paraId="433E7126"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48968221" w14:textId="77777777" w:rsidR="00A21AD1" w:rsidRPr="00CD71E6" w:rsidRDefault="00A21AD1"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du soutien administratif</w:t>
            </w:r>
          </w:p>
        </w:tc>
        <w:tc>
          <w:tcPr>
            <w:tcW w:w="1120" w:type="dxa"/>
            <w:tcBorders>
              <w:top w:val="nil"/>
              <w:left w:val="nil"/>
              <w:bottom w:val="nil"/>
              <w:right w:val="nil"/>
            </w:tcBorders>
            <w:shd w:val="clear" w:color="auto" w:fill="auto"/>
            <w:noWrap/>
            <w:vAlign w:val="center"/>
            <w:hideMark/>
          </w:tcPr>
          <w:p w14:paraId="510AFCC3"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42,0</w:t>
            </w:r>
          </w:p>
        </w:tc>
        <w:tc>
          <w:tcPr>
            <w:tcW w:w="1120" w:type="dxa"/>
            <w:tcBorders>
              <w:top w:val="nil"/>
              <w:left w:val="nil"/>
              <w:bottom w:val="nil"/>
              <w:right w:val="nil"/>
            </w:tcBorders>
            <w:shd w:val="clear" w:color="auto" w:fill="auto"/>
            <w:noWrap/>
            <w:vAlign w:val="center"/>
            <w:hideMark/>
          </w:tcPr>
          <w:p w14:paraId="2D8F9756" w14:textId="29E0ABEE" w:rsidR="00A21AD1" w:rsidRPr="00CD71E6" w:rsidRDefault="00A21AD1" w:rsidP="000B2E62">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w:t>
            </w:r>
            <w:r w:rsidR="000B2E62">
              <w:rPr>
                <w:rFonts w:eastAsia="Times New Roman"/>
                <w:color w:val="000000"/>
                <w:kern w:val="0"/>
                <w:sz w:val="20"/>
                <w:lang w:val="fr-CA"/>
                <w14:ligatures w14:val="none"/>
              </w:rPr>
              <w:t>,</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78AD978E"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37,0</w:t>
            </w:r>
          </w:p>
        </w:tc>
        <w:tc>
          <w:tcPr>
            <w:tcW w:w="1120" w:type="dxa"/>
            <w:tcBorders>
              <w:top w:val="nil"/>
              <w:left w:val="nil"/>
              <w:bottom w:val="nil"/>
              <w:right w:val="nil"/>
            </w:tcBorders>
            <w:shd w:val="clear" w:color="auto" w:fill="auto"/>
            <w:noWrap/>
            <w:vAlign w:val="center"/>
            <w:hideMark/>
          </w:tcPr>
          <w:p w14:paraId="369C1035"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88 %</w:t>
            </w:r>
          </w:p>
        </w:tc>
        <w:tc>
          <w:tcPr>
            <w:tcW w:w="1120" w:type="dxa"/>
            <w:tcBorders>
              <w:top w:val="nil"/>
              <w:left w:val="nil"/>
              <w:bottom w:val="nil"/>
              <w:right w:val="nil"/>
            </w:tcBorders>
            <w:shd w:val="clear" w:color="auto" w:fill="auto"/>
            <w:noWrap/>
            <w:vAlign w:val="center"/>
            <w:hideMark/>
          </w:tcPr>
          <w:p w14:paraId="1C269134"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33,0</w:t>
            </w:r>
          </w:p>
        </w:tc>
        <w:tc>
          <w:tcPr>
            <w:tcW w:w="1120" w:type="dxa"/>
            <w:tcBorders>
              <w:top w:val="nil"/>
              <w:left w:val="nil"/>
              <w:bottom w:val="nil"/>
              <w:right w:val="nil"/>
            </w:tcBorders>
            <w:shd w:val="clear" w:color="auto" w:fill="auto"/>
            <w:noWrap/>
            <w:vAlign w:val="center"/>
            <w:hideMark/>
          </w:tcPr>
          <w:p w14:paraId="0E9D4A77" w14:textId="77777777" w:rsidR="00A21AD1" w:rsidRPr="00CD71E6" w:rsidRDefault="00A21AD1" w:rsidP="00A21AD1">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89 %</w:t>
            </w:r>
          </w:p>
        </w:tc>
      </w:tr>
      <w:tr w:rsidR="00A21AD1" w:rsidRPr="00CD71E6" w14:paraId="18C31B26" w14:textId="77777777" w:rsidTr="00A21AD1">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4D87A84E" w14:textId="77777777" w:rsidR="00A21AD1" w:rsidRPr="00CD71E6" w:rsidRDefault="00A21AD1" w:rsidP="00A21AD1">
            <w:pPr>
              <w:spacing w:after="0" w:line="240" w:lineRule="auto"/>
              <w:jc w:val="right"/>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Total des catégories d’emploi</w:t>
            </w:r>
          </w:p>
        </w:tc>
        <w:tc>
          <w:tcPr>
            <w:tcW w:w="1120" w:type="dxa"/>
            <w:tcBorders>
              <w:top w:val="single" w:sz="4" w:space="0" w:color="auto"/>
              <w:left w:val="nil"/>
              <w:bottom w:val="single" w:sz="8" w:space="0" w:color="auto"/>
              <w:right w:val="nil"/>
            </w:tcBorders>
            <w:shd w:val="clear" w:color="auto" w:fill="auto"/>
            <w:noWrap/>
            <w:vAlign w:val="center"/>
            <w:hideMark/>
          </w:tcPr>
          <w:p w14:paraId="68508895" w14:textId="77777777" w:rsidR="00A21AD1" w:rsidRPr="00CD71E6" w:rsidRDefault="00A21AD1" w:rsidP="00A21A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221,1</w:t>
            </w:r>
          </w:p>
        </w:tc>
        <w:tc>
          <w:tcPr>
            <w:tcW w:w="1120" w:type="dxa"/>
            <w:tcBorders>
              <w:top w:val="single" w:sz="4" w:space="0" w:color="auto"/>
              <w:left w:val="nil"/>
              <w:bottom w:val="single" w:sz="8" w:space="0" w:color="auto"/>
              <w:right w:val="nil"/>
            </w:tcBorders>
            <w:shd w:val="clear" w:color="auto" w:fill="auto"/>
            <w:noWrap/>
            <w:vAlign w:val="center"/>
            <w:hideMark/>
          </w:tcPr>
          <w:p w14:paraId="7494AA92" w14:textId="77777777" w:rsidR="00A21AD1" w:rsidRPr="00CD71E6" w:rsidRDefault="00A21AD1" w:rsidP="00A21A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46,1</w:t>
            </w:r>
          </w:p>
        </w:tc>
        <w:tc>
          <w:tcPr>
            <w:tcW w:w="1120" w:type="dxa"/>
            <w:tcBorders>
              <w:top w:val="single" w:sz="4" w:space="0" w:color="auto"/>
              <w:left w:val="nil"/>
              <w:bottom w:val="single" w:sz="8" w:space="0" w:color="auto"/>
              <w:right w:val="nil"/>
            </w:tcBorders>
            <w:shd w:val="clear" w:color="auto" w:fill="auto"/>
            <w:noWrap/>
            <w:vAlign w:val="center"/>
            <w:hideMark/>
          </w:tcPr>
          <w:p w14:paraId="06609934" w14:textId="77777777" w:rsidR="00A21AD1" w:rsidRPr="00CD71E6" w:rsidRDefault="00A21AD1" w:rsidP="00A21A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175,0</w:t>
            </w:r>
          </w:p>
        </w:tc>
        <w:tc>
          <w:tcPr>
            <w:tcW w:w="1120" w:type="dxa"/>
            <w:tcBorders>
              <w:top w:val="single" w:sz="4" w:space="0" w:color="auto"/>
              <w:left w:val="nil"/>
              <w:bottom w:val="single" w:sz="8" w:space="0" w:color="auto"/>
              <w:right w:val="nil"/>
            </w:tcBorders>
            <w:shd w:val="clear" w:color="auto" w:fill="auto"/>
            <w:noWrap/>
            <w:vAlign w:val="center"/>
            <w:hideMark/>
          </w:tcPr>
          <w:p w14:paraId="42E2249A" w14:textId="77777777" w:rsidR="00A21AD1" w:rsidRPr="00CD71E6" w:rsidRDefault="00A21AD1" w:rsidP="00A21A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79 %</w:t>
            </w:r>
          </w:p>
        </w:tc>
        <w:tc>
          <w:tcPr>
            <w:tcW w:w="1120" w:type="dxa"/>
            <w:tcBorders>
              <w:top w:val="single" w:sz="4" w:space="0" w:color="auto"/>
              <w:left w:val="nil"/>
              <w:bottom w:val="single" w:sz="8" w:space="0" w:color="auto"/>
              <w:right w:val="nil"/>
            </w:tcBorders>
            <w:shd w:val="clear" w:color="auto" w:fill="auto"/>
            <w:noWrap/>
            <w:vAlign w:val="center"/>
            <w:hideMark/>
          </w:tcPr>
          <w:p w14:paraId="78A2F112" w14:textId="77777777" w:rsidR="00A21AD1" w:rsidRPr="00CD71E6" w:rsidRDefault="00A21AD1" w:rsidP="00A21A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96,0</w:t>
            </w:r>
          </w:p>
        </w:tc>
        <w:tc>
          <w:tcPr>
            <w:tcW w:w="1120" w:type="dxa"/>
            <w:tcBorders>
              <w:top w:val="single" w:sz="4" w:space="0" w:color="auto"/>
              <w:left w:val="nil"/>
              <w:bottom w:val="single" w:sz="8" w:space="0" w:color="auto"/>
              <w:right w:val="nil"/>
            </w:tcBorders>
            <w:shd w:val="clear" w:color="auto" w:fill="auto"/>
            <w:noWrap/>
            <w:vAlign w:val="center"/>
            <w:hideMark/>
          </w:tcPr>
          <w:p w14:paraId="1E074A89" w14:textId="77777777" w:rsidR="00A21AD1" w:rsidRPr="00CD71E6" w:rsidRDefault="00A21AD1" w:rsidP="00A21AD1">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55 %</w:t>
            </w:r>
          </w:p>
        </w:tc>
      </w:tr>
    </w:tbl>
    <w:p w14:paraId="299087FC" w14:textId="77777777" w:rsidR="007D4FDA" w:rsidRPr="00CD71E6" w:rsidRDefault="007D4FDA" w:rsidP="007D4FDA">
      <w:pPr>
        <w:rPr>
          <w:lang w:val="fr-CA"/>
        </w:rPr>
      </w:pPr>
    </w:p>
    <w:p w14:paraId="14E2582D" w14:textId="6DF9F748" w:rsidR="0093656E" w:rsidRPr="00CD71E6" w:rsidRDefault="0093656E" w:rsidP="0093656E">
      <w:pPr>
        <w:pStyle w:val="Heading3"/>
        <w:rPr>
          <w:lang w:val="fr-CA"/>
        </w:rPr>
      </w:pPr>
      <w:bookmarkStart w:id="40" w:name="_Toc41053699"/>
      <w:r w:rsidRPr="00CD71E6">
        <w:rPr>
          <w:bCs/>
          <w:lang w:val="fr-CA"/>
        </w:rPr>
        <w:t>Au 31 mars 2015</w:t>
      </w:r>
      <w:bookmarkEnd w:id="40"/>
    </w:p>
    <w:tbl>
      <w:tblPr>
        <w:tblW w:w="9600" w:type="dxa"/>
        <w:tblInd w:w="93" w:type="dxa"/>
        <w:tblLook w:val="04A0" w:firstRow="1" w:lastRow="0" w:firstColumn="1" w:lastColumn="0" w:noHBand="0" w:noVBand="1"/>
      </w:tblPr>
      <w:tblGrid>
        <w:gridCol w:w="1440"/>
        <w:gridCol w:w="1440"/>
        <w:gridCol w:w="1120"/>
        <w:gridCol w:w="1120"/>
        <w:gridCol w:w="1120"/>
        <w:gridCol w:w="1120"/>
        <w:gridCol w:w="1147"/>
        <w:gridCol w:w="1416"/>
      </w:tblGrid>
      <w:tr w:rsidR="00447426" w:rsidRPr="00CD71E6" w14:paraId="446CC776" w14:textId="77777777" w:rsidTr="00447426">
        <w:trPr>
          <w:trHeight w:val="300"/>
        </w:trPr>
        <w:tc>
          <w:tcPr>
            <w:tcW w:w="1440" w:type="dxa"/>
            <w:tcBorders>
              <w:top w:val="nil"/>
              <w:left w:val="nil"/>
              <w:bottom w:val="nil"/>
              <w:right w:val="nil"/>
            </w:tcBorders>
            <w:shd w:val="clear" w:color="auto" w:fill="auto"/>
            <w:noWrap/>
            <w:vAlign w:val="bottom"/>
            <w:hideMark/>
          </w:tcPr>
          <w:p w14:paraId="6A33E439"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63C75C6F"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4480" w:type="dxa"/>
            <w:gridSpan w:val="4"/>
            <w:tcBorders>
              <w:top w:val="nil"/>
              <w:left w:val="nil"/>
              <w:bottom w:val="nil"/>
              <w:right w:val="nil"/>
            </w:tcBorders>
            <w:shd w:val="clear" w:color="000000" w:fill="000000"/>
            <w:noWrap/>
            <w:vAlign w:val="center"/>
            <w:hideMark/>
          </w:tcPr>
          <w:p w14:paraId="72320695" w14:textId="77777777" w:rsidR="00447426" w:rsidRPr="00CD71E6" w:rsidRDefault="00447426" w:rsidP="00447426">
            <w:pPr>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Nombre total de postes</w:t>
            </w:r>
          </w:p>
        </w:tc>
        <w:tc>
          <w:tcPr>
            <w:tcW w:w="2240" w:type="dxa"/>
            <w:gridSpan w:val="2"/>
            <w:tcBorders>
              <w:top w:val="nil"/>
              <w:left w:val="nil"/>
              <w:bottom w:val="nil"/>
              <w:right w:val="nil"/>
            </w:tcBorders>
            <w:shd w:val="clear" w:color="000000" w:fill="000000"/>
            <w:noWrap/>
            <w:vAlign w:val="center"/>
            <w:hideMark/>
          </w:tcPr>
          <w:p w14:paraId="0433706D" w14:textId="0D99BAA8" w:rsidR="00447426" w:rsidRPr="00CD71E6" w:rsidRDefault="004B4DDA" w:rsidP="00447426">
            <w:pPr>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Inuits</w:t>
            </w:r>
          </w:p>
        </w:tc>
      </w:tr>
      <w:tr w:rsidR="00447426" w:rsidRPr="00CD71E6" w14:paraId="7548C01F" w14:textId="77777777" w:rsidTr="00447426">
        <w:trPr>
          <w:trHeight w:val="300"/>
        </w:trPr>
        <w:tc>
          <w:tcPr>
            <w:tcW w:w="1440" w:type="dxa"/>
            <w:tcBorders>
              <w:top w:val="nil"/>
              <w:left w:val="nil"/>
              <w:bottom w:val="nil"/>
              <w:right w:val="nil"/>
            </w:tcBorders>
            <w:shd w:val="clear" w:color="auto" w:fill="auto"/>
            <w:noWrap/>
            <w:vAlign w:val="bottom"/>
            <w:hideMark/>
          </w:tcPr>
          <w:p w14:paraId="1C2CC6BF"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7CD14ECC"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1120" w:type="dxa"/>
            <w:vMerge w:val="restart"/>
            <w:tcBorders>
              <w:top w:val="nil"/>
              <w:left w:val="nil"/>
              <w:bottom w:val="nil"/>
              <w:right w:val="nil"/>
            </w:tcBorders>
            <w:shd w:val="clear" w:color="000000" w:fill="000000"/>
            <w:vAlign w:val="bottom"/>
            <w:hideMark/>
          </w:tcPr>
          <w:p w14:paraId="04C8D7E8"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Nombre total de postes</w:t>
            </w:r>
          </w:p>
        </w:tc>
        <w:tc>
          <w:tcPr>
            <w:tcW w:w="1120" w:type="dxa"/>
            <w:vMerge w:val="restart"/>
            <w:tcBorders>
              <w:top w:val="nil"/>
              <w:left w:val="nil"/>
              <w:bottom w:val="nil"/>
              <w:right w:val="nil"/>
            </w:tcBorders>
            <w:shd w:val="clear" w:color="000000" w:fill="000000"/>
            <w:vAlign w:val="bottom"/>
            <w:hideMark/>
          </w:tcPr>
          <w:p w14:paraId="280F930F"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vacants</w:t>
            </w:r>
          </w:p>
        </w:tc>
        <w:tc>
          <w:tcPr>
            <w:tcW w:w="1120" w:type="dxa"/>
            <w:vMerge w:val="restart"/>
            <w:tcBorders>
              <w:top w:val="nil"/>
              <w:left w:val="nil"/>
              <w:bottom w:val="single" w:sz="8" w:space="0" w:color="000000"/>
              <w:right w:val="nil"/>
            </w:tcBorders>
            <w:shd w:val="clear" w:color="000000" w:fill="000000"/>
            <w:vAlign w:val="bottom"/>
            <w:hideMark/>
          </w:tcPr>
          <w:p w14:paraId="78896DA1"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pourvus</w:t>
            </w:r>
          </w:p>
        </w:tc>
        <w:tc>
          <w:tcPr>
            <w:tcW w:w="1120" w:type="dxa"/>
            <w:vMerge w:val="restart"/>
            <w:tcBorders>
              <w:top w:val="nil"/>
              <w:left w:val="nil"/>
              <w:bottom w:val="single" w:sz="8" w:space="0" w:color="000000"/>
              <w:right w:val="nil"/>
            </w:tcBorders>
            <w:shd w:val="clear" w:color="000000" w:fill="000000"/>
            <w:vAlign w:val="bottom"/>
            <w:hideMark/>
          </w:tcPr>
          <w:p w14:paraId="4B3FA8C2"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de la capacité</w:t>
            </w:r>
          </w:p>
        </w:tc>
        <w:tc>
          <w:tcPr>
            <w:tcW w:w="1120" w:type="dxa"/>
            <w:tcBorders>
              <w:top w:val="nil"/>
              <w:left w:val="nil"/>
              <w:bottom w:val="nil"/>
              <w:right w:val="nil"/>
            </w:tcBorders>
            <w:shd w:val="clear" w:color="000000" w:fill="000000"/>
            <w:vAlign w:val="center"/>
            <w:hideMark/>
          </w:tcPr>
          <w:p w14:paraId="6439EA46"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c>
          <w:tcPr>
            <w:tcW w:w="1120" w:type="dxa"/>
            <w:tcBorders>
              <w:top w:val="nil"/>
              <w:left w:val="nil"/>
              <w:bottom w:val="nil"/>
              <w:right w:val="nil"/>
            </w:tcBorders>
            <w:shd w:val="clear" w:color="000000" w:fill="000000"/>
            <w:vAlign w:val="center"/>
            <w:hideMark/>
          </w:tcPr>
          <w:p w14:paraId="1CDD6A6E" w14:textId="77777777" w:rsidR="00447426" w:rsidRPr="00CD71E6" w:rsidRDefault="00447426" w:rsidP="00447426">
            <w:pPr>
              <w:spacing w:after="0" w:line="240" w:lineRule="auto"/>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r>
      <w:tr w:rsidR="00447426" w:rsidRPr="004373E7" w14:paraId="06B241D3" w14:textId="77777777" w:rsidTr="00B01B52">
        <w:trPr>
          <w:trHeight w:val="315"/>
        </w:trPr>
        <w:tc>
          <w:tcPr>
            <w:tcW w:w="1440" w:type="dxa"/>
            <w:tcBorders>
              <w:top w:val="nil"/>
              <w:left w:val="nil"/>
              <w:bottom w:val="nil"/>
              <w:right w:val="nil"/>
            </w:tcBorders>
            <w:shd w:val="clear" w:color="auto" w:fill="auto"/>
            <w:noWrap/>
            <w:vAlign w:val="bottom"/>
            <w:hideMark/>
          </w:tcPr>
          <w:p w14:paraId="02FF4E04"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1760A062"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1120" w:type="dxa"/>
            <w:vMerge/>
            <w:tcBorders>
              <w:top w:val="nil"/>
              <w:left w:val="nil"/>
              <w:bottom w:val="nil"/>
              <w:right w:val="nil"/>
            </w:tcBorders>
            <w:vAlign w:val="center"/>
            <w:hideMark/>
          </w:tcPr>
          <w:p w14:paraId="70F59A88" w14:textId="77777777" w:rsidR="00447426" w:rsidRPr="00CD71E6" w:rsidRDefault="00447426" w:rsidP="00447426">
            <w:pPr>
              <w:spacing w:after="0" w:line="240" w:lineRule="auto"/>
              <w:rPr>
                <w:rFonts w:eastAsia="Times New Roman"/>
                <w:color w:val="FFFFFF"/>
                <w:kern w:val="0"/>
                <w:sz w:val="20"/>
                <w:lang w:val="fr-CA"/>
                <w14:ligatures w14:val="none"/>
              </w:rPr>
            </w:pPr>
          </w:p>
        </w:tc>
        <w:tc>
          <w:tcPr>
            <w:tcW w:w="1120" w:type="dxa"/>
            <w:vMerge/>
            <w:tcBorders>
              <w:top w:val="nil"/>
              <w:left w:val="nil"/>
              <w:bottom w:val="nil"/>
              <w:right w:val="nil"/>
            </w:tcBorders>
            <w:vAlign w:val="center"/>
            <w:hideMark/>
          </w:tcPr>
          <w:p w14:paraId="19363677" w14:textId="77777777" w:rsidR="00447426" w:rsidRPr="00CD71E6" w:rsidRDefault="00447426" w:rsidP="00447426">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4FD42BA7" w14:textId="77777777" w:rsidR="00447426" w:rsidRPr="00CD71E6" w:rsidRDefault="00447426" w:rsidP="00447426">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199B76E5" w14:textId="77777777" w:rsidR="00447426" w:rsidRPr="00CD71E6" w:rsidRDefault="00447426" w:rsidP="00447426">
            <w:pPr>
              <w:spacing w:after="0" w:line="240" w:lineRule="auto"/>
              <w:rPr>
                <w:rFonts w:eastAsia="Times New Roman"/>
                <w:color w:val="FFFFFF"/>
                <w:kern w:val="0"/>
                <w:sz w:val="20"/>
                <w:lang w:val="fr-CA"/>
                <w14:ligatures w14:val="none"/>
              </w:rPr>
            </w:pPr>
          </w:p>
        </w:tc>
        <w:tc>
          <w:tcPr>
            <w:tcW w:w="1120" w:type="dxa"/>
            <w:tcBorders>
              <w:top w:val="nil"/>
              <w:left w:val="nil"/>
              <w:bottom w:val="nil"/>
              <w:right w:val="nil"/>
            </w:tcBorders>
            <w:shd w:val="clear" w:color="000000" w:fill="000000"/>
            <w:vAlign w:val="bottom"/>
            <w:hideMark/>
          </w:tcPr>
          <w:p w14:paraId="7C2CDEC4" w14:textId="77777777" w:rsidR="00447426" w:rsidRPr="00CD71E6" w:rsidRDefault="00447426" w:rsidP="000B2E62">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Embauchés</w:t>
            </w:r>
          </w:p>
        </w:tc>
        <w:tc>
          <w:tcPr>
            <w:tcW w:w="1120" w:type="dxa"/>
            <w:tcBorders>
              <w:top w:val="nil"/>
              <w:left w:val="nil"/>
              <w:bottom w:val="single" w:sz="8" w:space="0" w:color="auto"/>
              <w:right w:val="nil"/>
            </w:tcBorders>
            <w:shd w:val="clear" w:color="000000" w:fill="000000"/>
            <w:vAlign w:val="center"/>
            <w:hideMark/>
          </w:tcPr>
          <w:p w14:paraId="606B1284"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du plan d’embauchage des Inuits</w:t>
            </w:r>
          </w:p>
        </w:tc>
      </w:tr>
      <w:tr w:rsidR="00447426" w:rsidRPr="00CD71E6" w14:paraId="0AB4C2A4"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7F93F664"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direction</w:t>
            </w:r>
          </w:p>
        </w:tc>
        <w:tc>
          <w:tcPr>
            <w:tcW w:w="1120" w:type="dxa"/>
            <w:tcBorders>
              <w:top w:val="single" w:sz="8" w:space="0" w:color="auto"/>
              <w:left w:val="nil"/>
              <w:bottom w:val="nil"/>
              <w:right w:val="nil"/>
            </w:tcBorders>
            <w:shd w:val="clear" w:color="auto" w:fill="auto"/>
            <w:noWrap/>
            <w:vAlign w:val="center"/>
            <w:hideMark/>
          </w:tcPr>
          <w:p w14:paraId="6A606A1D"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4,0</w:t>
            </w:r>
          </w:p>
        </w:tc>
        <w:tc>
          <w:tcPr>
            <w:tcW w:w="1120" w:type="dxa"/>
            <w:tcBorders>
              <w:top w:val="single" w:sz="8" w:space="0" w:color="auto"/>
              <w:left w:val="nil"/>
              <w:bottom w:val="nil"/>
              <w:right w:val="nil"/>
            </w:tcBorders>
            <w:shd w:val="clear" w:color="auto" w:fill="auto"/>
            <w:noWrap/>
            <w:vAlign w:val="center"/>
            <w:hideMark/>
          </w:tcPr>
          <w:p w14:paraId="0FD3CA42"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0,0</w:t>
            </w:r>
          </w:p>
        </w:tc>
        <w:tc>
          <w:tcPr>
            <w:tcW w:w="1120" w:type="dxa"/>
            <w:tcBorders>
              <w:top w:val="nil"/>
              <w:left w:val="nil"/>
              <w:bottom w:val="nil"/>
              <w:right w:val="nil"/>
            </w:tcBorders>
            <w:shd w:val="clear" w:color="auto" w:fill="auto"/>
            <w:noWrap/>
            <w:vAlign w:val="center"/>
            <w:hideMark/>
          </w:tcPr>
          <w:p w14:paraId="4B02F2C9"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4,0</w:t>
            </w:r>
          </w:p>
        </w:tc>
        <w:tc>
          <w:tcPr>
            <w:tcW w:w="1120" w:type="dxa"/>
            <w:tcBorders>
              <w:top w:val="nil"/>
              <w:left w:val="nil"/>
              <w:bottom w:val="nil"/>
              <w:right w:val="nil"/>
            </w:tcBorders>
            <w:shd w:val="clear" w:color="auto" w:fill="auto"/>
            <w:noWrap/>
            <w:vAlign w:val="center"/>
            <w:hideMark/>
          </w:tcPr>
          <w:p w14:paraId="4B28D452"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c>
          <w:tcPr>
            <w:tcW w:w="1120" w:type="dxa"/>
            <w:tcBorders>
              <w:top w:val="single" w:sz="8" w:space="0" w:color="auto"/>
              <w:left w:val="nil"/>
              <w:bottom w:val="nil"/>
              <w:right w:val="nil"/>
            </w:tcBorders>
            <w:shd w:val="clear" w:color="auto" w:fill="auto"/>
            <w:noWrap/>
            <w:vAlign w:val="center"/>
            <w:hideMark/>
          </w:tcPr>
          <w:p w14:paraId="78663CAE"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nil"/>
              <w:left w:val="nil"/>
              <w:bottom w:val="nil"/>
              <w:right w:val="nil"/>
            </w:tcBorders>
            <w:shd w:val="clear" w:color="auto" w:fill="auto"/>
            <w:noWrap/>
            <w:vAlign w:val="center"/>
            <w:hideMark/>
          </w:tcPr>
          <w:p w14:paraId="0532D8D3"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50 %</w:t>
            </w:r>
          </w:p>
        </w:tc>
      </w:tr>
      <w:tr w:rsidR="00447426" w:rsidRPr="00CD71E6" w14:paraId="7478F764"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539BB298"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supérieurs</w:t>
            </w:r>
          </w:p>
        </w:tc>
        <w:tc>
          <w:tcPr>
            <w:tcW w:w="1120" w:type="dxa"/>
            <w:tcBorders>
              <w:top w:val="nil"/>
              <w:left w:val="nil"/>
              <w:bottom w:val="nil"/>
              <w:right w:val="nil"/>
            </w:tcBorders>
            <w:shd w:val="clear" w:color="auto" w:fill="auto"/>
            <w:noWrap/>
            <w:vAlign w:val="center"/>
            <w:hideMark/>
          </w:tcPr>
          <w:p w14:paraId="171F40B8" w14:textId="2B308A47" w:rsidR="00447426" w:rsidRPr="00CD71E6" w:rsidRDefault="00447426" w:rsidP="000B2E62">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w:t>
            </w:r>
            <w:r w:rsidR="000B2E62">
              <w:rPr>
                <w:rFonts w:eastAsia="Times New Roman"/>
                <w:color w:val="000000"/>
                <w:kern w:val="0"/>
                <w:sz w:val="20"/>
                <w:lang w:val="fr-CA"/>
                <w14:ligatures w14:val="none"/>
              </w:rPr>
              <w:t>,</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2502A1F8"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0,0</w:t>
            </w:r>
          </w:p>
        </w:tc>
        <w:tc>
          <w:tcPr>
            <w:tcW w:w="1120" w:type="dxa"/>
            <w:tcBorders>
              <w:top w:val="nil"/>
              <w:left w:val="nil"/>
              <w:bottom w:val="nil"/>
              <w:right w:val="nil"/>
            </w:tcBorders>
            <w:shd w:val="clear" w:color="auto" w:fill="auto"/>
            <w:noWrap/>
            <w:vAlign w:val="center"/>
            <w:hideMark/>
          </w:tcPr>
          <w:p w14:paraId="710C79BD" w14:textId="00357DD8" w:rsidR="00447426" w:rsidRPr="00CD71E6" w:rsidRDefault="00447426" w:rsidP="000B2E62">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w:t>
            </w:r>
            <w:r w:rsidR="000B2E62">
              <w:rPr>
                <w:rFonts w:eastAsia="Times New Roman"/>
                <w:color w:val="000000"/>
                <w:kern w:val="0"/>
                <w:sz w:val="20"/>
                <w:lang w:val="fr-CA"/>
                <w14:ligatures w14:val="none"/>
              </w:rPr>
              <w:t>,</w:t>
            </w:r>
            <w:r w:rsidRPr="00CD71E6">
              <w:rPr>
                <w:rFonts w:eastAsia="Times New Roman"/>
                <w:color w:val="000000"/>
                <w:kern w:val="0"/>
                <w:sz w:val="20"/>
                <w:lang w:val="fr-CA"/>
                <w14:ligatures w14:val="none"/>
              </w:rPr>
              <w:t>0</w:t>
            </w:r>
          </w:p>
        </w:tc>
        <w:tc>
          <w:tcPr>
            <w:tcW w:w="1120" w:type="dxa"/>
            <w:tcBorders>
              <w:top w:val="nil"/>
              <w:left w:val="nil"/>
              <w:bottom w:val="nil"/>
              <w:right w:val="nil"/>
            </w:tcBorders>
            <w:shd w:val="clear" w:color="auto" w:fill="auto"/>
            <w:noWrap/>
            <w:vAlign w:val="center"/>
            <w:hideMark/>
          </w:tcPr>
          <w:p w14:paraId="06A72EEA"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c>
          <w:tcPr>
            <w:tcW w:w="1120" w:type="dxa"/>
            <w:tcBorders>
              <w:top w:val="nil"/>
              <w:left w:val="nil"/>
              <w:bottom w:val="nil"/>
              <w:right w:val="nil"/>
            </w:tcBorders>
            <w:shd w:val="clear" w:color="auto" w:fill="auto"/>
            <w:noWrap/>
            <w:vAlign w:val="center"/>
            <w:hideMark/>
          </w:tcPr>
          <w:p w14:paraId="56BF8605"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nil"/>
              <w:left w:val="nil"/>
              <w:bottom w:val="nil"/>
              <w:right w:val="nil"/>
            </w:tcBorders>
            <w:shd w:val="clear" w:color="auto" w:fill="auto"/>
            <w:noWrap/>
            <w:vAlign w:val="center"/>
            <w:hideMark/>
          </w:tcPr>
          <w:p w14:paraId="0C8564CE"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40 %</w:t>
            </w:r>
          </w:p>
        </w:tc>
      </w:tr>
      <w:tr w:rsidR="00447426" w:rsidRPr="00CD71E6" w14:paraId="24F3C6A5"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5FB7BF3F"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intermédiaires</w:t>
            </w:r>
          </w:p>
        </w:tc>
        <w:tc>
          <w:tcPr>
            <w:tcW w:w="1120" w:type="dxa"/>
            <w:tcBorders>
              <w:top w:val="nil"/>
              <w:left w:val="nil"/>
              <w:bottom w:val="nil"/>
              <w:right w:val="nil"/>
            </w:tcBorders>
            <w:shd w:val="clear" w:color="auto" w:fill="auto"/>
            <w:noWrap/>
            <w:vAlign w:val="center"/>
            <w:hideMark/>
          </w:tcPr>
          <w:p w14:paraId="2730C0C2"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25,0</w:t>
            </w:r>
          </w:p>
        </w:tc>
        <w:tc>
          <w:tcPr>
            <w:tcW w:w="1120" w:type="dxa"/>
            <w:tcBorders>
              <w:top w:val="nil"/>
              <w:left w:val="nil"/>
              <w:bottom w:val="nil"/>
              <w:right w:val="nil"/>
            </w:tcBorders>
            <w:shd w:val="clear" w:color="auto" w:fill="auto"/>
            <w:noWrap/>
            <w:vAlign w:val="center"/>
            <w:hideMark/>
          </w:tcPr>
          <w:p w14:paraId="145FA965"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6,0</w:t>
            </w:r>
          </w:p>
        </w:tc>
        <w:tc>
          <w:tcPr>
            <w:tcW w:w="1120" w:type="dxa"/>
            <w:tcBorders>
              <w:top w:val="nil"/>
              <w:left w:val="nil"/>
              <w:bottom w:val="nil"/>
              <w:right w:val="nil"/>
            </w:tcBorders>
            <w:shd w:val="clear" w:color="auto" w:fill="auto"/>
            <w:noWrap/>
            <w:vAlign w:val="center"/>
            <w:hideMark/>
          </w:tcPr>
          <w:p w14:paraId="34F25624"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19,0</w:t>
            </w:r>
          </w:p>
        </w:tc>
        <w:tc>
          <w:tcPr>
            <w:tcW w:w="1120" w:type="dxa"/>
            <w:tcBorders>
              <w:top w:val="nil"/>
              <w:left w:val="nil"/>
              <w:bottom w:val="nil"/>
              <w:right w:val="nil"/>
            </w:tcBorders>
            <w:shd w:val="clear" w:color="auto" w:fill="auto"/>
            <w:noWrap/>
            <w:vAlign w:val="center"/>
            <w:hideMark/>
          </w:tcPr>
          <w:p w14:paraId="4FDF83BC"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76 %</w:t>
            </w:r>
          </w:p>
        </w:tc>
        <w:tc>
          <w:tcPr>
            <w:tcW w:w="1120" w:type="dxa"/>
            <w:tcBorders>
              <w:top w:val="nil"/>
              <w:left w:val="nil"/>
              <w:bottom w:val="nil"/>
              <w:right w:val="nil"/>
            </w:tcBorders>
            <w:shd w:val="clear" w:color="auto" w:fill="auto"/>
            <w:noWrap/>
            <w:vAlign w:val="center"/>
            <w:hideMark/>
          </w:tcPr>
          <w:p w14:paraId="4CCDA946"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w:t>
            </w:r>
          </w:p>
        </w:tc>
        <w:tc>
          <w:tcPr>
            <w:tcW w:w="1120" w:type="dxa"/>
            <w:tcBorders>
              <w:top w:val="nil"/>
              <w:left w:val="nil"/>
              <w:bottom w:val="nil"/>
              <w:right w:val="nil"/>
            </w:tcBorders>
            <w:shd w:val="clear" w:color="auto" w:fill="auto"/>
            <w:noWrap/>
            <w:vAlign w:val="center"/>
            <w:hideMark/>
          </w:tcPr>
          <w:p w14:paraId="08E3C471"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37 %</w:t>
            </w:r>
          </w:p>
        </w:tc>
      </w:tr>
      <w:tr w:rsidR="00447426" w:rsidRPr="00CD71E6" w14:paraId="2CB39A64"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37186622"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professionnels</w:t>
            </w:r>
          </w:p>
        </w:tc>
        <w:tc>
          <w:tcPr>
            <w:tcW w:w="1120" w:type="dxa"/>
            <w:tcBorders>
              <w:top w:val="nil"/>
              <w:left w:val="nil"/>
              <w:bottom w:val="nil"/>
              <w:right w:val="nil"/>
            </w:tcBorders>
            <w:shd w:val="clear" w:color="auto" w:fill="auto"/>
            <w:noWrap/>
            <w:vAlign w:val="center"/>
            <w:hideMark/>
          </w:tcPr>
          <w:p w14:paraId="3E12F70D"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126,0</w:t>
            </w:r>
          </w:p>
        </w:tc>
        <w:tc>
          <w:tcPr>
            <w:tcW w:w="1120" w:type="dxa"/>
            <w:tcBorders>
              <w:top w:val="nil"/>
              <w:left w:val="nil"/>
              <w:bottom w:val="nil"/>
              <w:right w:val="nil"/>
            </w:tcBorders>
            <w:shd w:val="clear" w:color="auto" w:fill="auto"/>
            <w:noWrap/>
            <w:vAlign w:val="center"/>
            <w:hideMark/>
          </w:tcPr>
          <w:p w14:paraId="789C793F"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30,0</w:t>
            </w:r>
          </w:p>
        </w:tc>
        <w:tc>
          <w:tcPr>
            <w:tcW w:w="1120" w:type="dxa"/>
            <w:tcBorders>
              <w:top w:val="nil"/>
              <w:left w:val="nil"/>
              <w:bottom w:val="nil"/>
              <w:right w:val="nil"/>
            </w:tcBorders>
            <w:shd w:val="clear" w:color="auto" w:fill="auto"/>
            <w:noWrap/>
            <w:vAlign w:val="center"/>
            <w:hideMark/>
          </w:tcPr>
          <w:p w14:paraId="25E469B0"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96,0</w:t>
            </w:r>
          </w:p>
        </w:tc>
        <w:tc>
          <w:tcPr>
            <w:tcW w:w="1120" w:type="dxa"/>
            <w:tcBorders>
              <w:top w:val="nil"/>
              <w:left w:val="nil"/>
              <w:bottom w:val="nil"/>
              <w:right w:val="nil"/>
            </w:tcBorders>
            <w:shd w:val="clear" w:color="auto" w:fill="auto"/>
            <w:noWrap/>
            <w:vAlign w:val="center"/>
            <w:hideMark/>
          </w:tcPr>
          <w:p w14:paraId="46B74BE5"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76 %</w:t>
            </w:r>
          </w:p>
        </w:tc>
        <w:tc>
          <w:tcPr>
            <w:tcW w:w="1120" w:type="dxa"/>
            <w:tcBorders>
              <w:top w:val="nil"/>
              <w:left w:val="nil"/>
              <w:bottom w:val="nil"/>
              <w:right w:val="nil"/>
            </w:tcBorders>
            <w:shd w:val="clear" w:color="auto" w:fill="auto"/>
            <w:noWrap/>
            <w:vAlign w:val="center"/>
            <w:hideMark/>
          </w:tcPr>
          <w:p w14:paraId="00E76A8F"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43,0</w:t>
            </w:r>
          </w:p>
        </w:tc>
        <w:tc>
          <w:tcPr>
            <w:tcW w:w="1120" w:type="dxa"/>
            <w:tcBorders>
              <w:top w:val="nil"/>
              <w:left w:val="nil"/>
              <w:bottom w:val="nil"/>
              <w:right w:val="nil"/>
            </w:tcBorders>
            <w:shd w:val="clear" w:color="auto" w:fill="auto"/>
            <w:noWrap/>
            <w:vAlign w:val="center"/>
            <w:hideMark/>
          </w:tcPr>
          <w:p w14:paraId="48EFA5AC"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45 %</w:t>
            </w:r>
          </w:p>
        </w:tc>
      </w:tr>
      <w:tr w:rsidR="00447426" w:rsidRPr="00CD71E6" w14:paraId="7A2A4B88"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0136CAA5"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paraprofessionnels</w:t>
            </w:r>
          </w:p>
        </w:tc>
        <w:tc>
          <w:tcPr>
            <w:tcW w:w="1120" w:type="dxa"/>
            <w:tcBorders>
              <w:top w:val="nil"/>
              <w:left w:val="nil"/>
              <w:bottom w:val="nil"/>
              <w:right w:val="nil"/>
            </w:tcBorders>
            <w:shd w:val="clear" w:color="auto" w:fill="auto"/>
            <w:noWrap/>
            <w:vAlign w:val="center"/>
            <w:hideMark/>
          </w:tcPr>
          <w:p w14:paraId="2E08C707"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1120" w:type="dxa"/>
            <w:tcBorders>
              <w:top w:val="nil"/>
              <w:left w:val="nil"/>
              <w:bottom w:val="nil"/>
              <w:right w:val="nil"/>
            </w:tcBorders>
            <w:shd w:val="clear" w:color="auto" w:fill="auto"/>
            <w:noWrap/>
            <w:vAlign w:val="center"/>
            <w:hideMark/>
          </w:tcPr>
          <w:p w14:paraId="21C81C08"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8,0</w:t>
            </w:r>
          </w:p>
        </w:tc>
        <w:tc>
          <w:tcPr>
            <w:tcW w:w="1120" w:type="dxa"/>
            <w:tcBorders>
              <w:top w:val="nil"/>
              <w:left w:val="nil"/>
              <w:bottom w:val="nil"/>
              <w:right w:val="nil"/>
            </w:tcBorders>
            <w:shd w:val="clear" w:color="auto" w:fill="auto"/>
            <w:noWrap/>
            <w:vAlign w:val="center"/>
            <w:hideMark/>
          </w:tcPr>
          <w:p w14:paraId="14E81EA3"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12,0</w:t>
            </w:r>
          </w:p>
        </w:tc>
        <w:tc>
          <w:tcPr>
            <w:tcW w:w="1120" w:type="dxa"/>
            <w:tcBorders>
              <w:top w:val="nil"/>
              <w:left w:val="nil"/>
              <w:bottom w:val="nil"/>
              <w:right w:val="nil"/>
            </w:tcBorders>
            <w:shd w:val="clear" w:color="auto" w:fill="auto"/>
            <w:noWrap/>
            <w:vAlign w:val="center"/>
            <w:hideMark/>
          </w:tcPr>
          <w:p w14:paraId="27EC0621"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60 %</w:t>
            </w:r>
          </w:p>
        </w:tc>
        <w:tc>
          <w:tcPr>
            <w:tcW w:w="1120" w:type="dxa"/>
            <w:tcBorders>
              <w:top w:val="nil"/>
              <w:left w:val="nil"/>
              <w:bottom w:val="nil"/>
              <w:right w:val="nil"/>
            </w:tcBorders>
            <w:shd w:val="clear" w:color="auto" w:fill="auto"/>
            <w:noWrap/>
            <w:vAlign w:val="center"/>
            <w:hideMark/>
          </w:tcPr>
          <w:p w14:paraId="24B3F6F2"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w:t>
            </w:r>
          </w:p>
        </w:tc>
        <w:tc>
          <w:tcPr>
            <w:tcW w:w="1120" w:type="dxa"/>
            <w:tcBorders>
              <w:top w:val="nil"/>
              <w:left w:val="nil"/>
              <w:bottom w:val="nil"/>
              <w:right w:val="nil"/>
            </w:tcBorders>
            <w:shd w:val="clear" w:color="auto" w:fill="auto"/>
            <w:noWrap/>
            <w:vAlign w:val="center"/>
            <w:hideMark/>
          </w:tcPr>
          <w:p w14:paraId="271560AB"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58 %</w:t>
            </w:r>
          </w:p>
        </w:tc>
      </w:tr>
      <w:tr w:rsidR="00447426" w:rsidRPr="00CD71E6" w14:paraId="7ACD5BFF"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43A0ACEF"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du soutien administratif</w:t>
            </w:r>
          </w:p>
        </w:tc>
        <w:tc>
          <w:tcPr>
            <w:tcW w:w="1120" w:type="dxa"/>
            <w:tcBorders>
              <w:top w:val="nil"/>
              <w:left w:val="nil"/>
              <w:bottom w:val="nil"/>
              <w:right w:val="nil"/>
            </w:tcBorders>
            <w:shd w:val="clear" w:color="auto" w:fill="auto"/>
            <w:noWrap/>
            <w:vAlign w:val="center"/>
            <w:hideMark/>
          </w:tcPr>
          <w:p w14:paraId="06172D1C"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40,0</w:t>
            </w:r>
          </w:p>
        </w:tc>
        <w:tc>
          <w:tcPr>
            <w:tcW w:w="1120" w:type="dxa"/>
            <w:tcBorders>
              <w:top w:val="nil"/>
              <w:left w:val="nil"/>
              <w:bottom w:val="nil"/>
              <w:right w:val="nil"/>
            </w:tcBorders>
            <w:shd w:val="clear" w:color="auto" w:fill="auto"/>
            <w:noWrap/>
            <w:vAlign w:val="center"/>
            <w:hideMark/>
          </w:tcPr>
          <w:p w14:paraId="422A4E4F"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4,0</w:t>
            </w:r>
          </w:p>
        </w:tc>
        <w:tc>
          <w:tcPr>
            <w:tcW w:w="1120" w:type="dxa"/>
            <w:tcBorders>
              <w:top w:val="nil"/>
              <w:left w:val="nil"/>
              <w:bottom w:val="nil"/>
              <w:right w:val="nil"/>
            </w:tcBorders>
            <w:shd w:val="clear" w:color="auto" w:fill="auto"/>
            <w:noWrap/>
            <w:vAlign w:val="center"/>
            <w:hideMark/>
          </w:tcPr>
          <w:p w14:paraId="6C0AFCF2"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36,0</w:t>
            </w:r>
          </w:p>
        </w:tc>
        <w:tc>
          <w:tcPr>
            <w:tcW w:w="1120" w:type="dxa"/>
            <w:tcBorders>
              <w:top w:val="nil"/>
              <w:left w:val="nil"/>
              <w:bottom w:val="nil"/>
              <w:right w:val="nil"/>
            </w:tcBorders>
            <w:shd w:val="clear" w:color="auto" w:fill="auto"/>
            <w:noWrap/>
            <w:vAlign w:val="center"/>
            <w:hideMark/>
          </w:tcPr>
          <w:p w14:paraId="7C96BE5B"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90 %</w:t>
            </w:r>
          </w:p>
        </w:tc>
        <w:tc>
          <w:tcPr>
            <w:tcW w:w="1120" w:type="dxa"/>
            <w:tcBorders>
              <w:top w:val="nil"/>
              <w:left w:val="nil"/>
              <w:bottom w:val="nil"/>
              <w:right w:val="nil"/>
            </w:tcBorders>
            <w:shd w:val="clear" w:color="auto" w:fill="auto"/>
            <w:noWrap/>
            <w:vAlign w:val="center"/>
            <w:hideMark/>
          </w:tcPr>
          <w:p w14:paraId="3E119F39"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32,0</w:t>
            </w:r>
          </w:p>
        </w:tc>
        <w:tc>
          <w:tcPr>
            <w:tcW w:w="1120" w:type="dxa"/>
            <w:tcBorders>
              <w:top w:val="nil"/>
              <w:left w:val="nil"/>
              <w:bottom w:val="nil"/>
              <w:right w:val="nil"/>
            </w:tcBorders>
            <w:shd w:val="clear" w:color="auto" w:fill="auto"/>
            <w:noWrap/>
            <w:vAlign w:val="center"/>
            <w:hideMark/>
          </w:tcPr>
          <w:p w14:paraId="4516126B"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89 %</w:t>
            </w:r>
          </w:p>
        </w:tc>
      </w:tr>
      <w:tr w:rsidR="00447426" w:rsidRPr="00CD71E6" w14:paraId="17B09654" w14:textId="77777777" w:rsidTr="00447426">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334F50A1" w14:textId="77777777" w:rsidR="00447426" w:rsidRPr="00CD71E6" w:rsidRDefault="00447426" w:rsidP="00447426">
            <w:pPr>
              <w:spacing w:after="0" w:line="240" w:lineRule="auto"/>
              <w:jc w:val="right"/>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Total des catégories d’emploi</w:t>
            </w:r>
          </w:p>
        </w:tc>
        <w:tc>
          <w:tcPr>
            <w:tcW w:w="1120" w:type="dxa"/>
            <w:tcBorders>
              <w:top w:val="single" w:sz="4" w:space="0" w:color="auto"/>
              <w:left w:val="nil"/>
              <w:bottom w:val="single" w:sz="8" w:space="0" w:color="auto"/>
              <w:right w:val="nil"/>
            </w:tcBorders>
            <w:shd w:val="clear" w:color="auto" w:fill="auto"/>
            <w:noWrap/>
            <w:vAlign w:val="center"/>
            <w:hideMark/>
          </w:tcPr>
          <w:p w14:paraId="04D5083C"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220,0</w:t>
            </w:r>
          </w:p>
        </w:tc>
        <w:tc>
          <w:tcPr>
            <w:tcW w:w="1120" w:type="dxa"/>
            <w:tcBorders>
              <w:top w:val="single" w:sz="4" w:space="0" w:color="auto"/>
              <w:left w:val="nil"/>
              <w:bottom w:val="single" w:sz="8" w:space="0" w:color="auto"/>
              <w:right w:val="nil"/>
            </w:tcBorders>
            <w:shd w:val="clear" w:color="auto" w:fill="auto"/>
            <w:noWrap/>
            <w:vAlign w:val="center"/>
            <w:hideMark/>
          </w:tcPr>
          <w:p w14:paraId="7BA98DCE"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48,0</w:t>
            </w:r>
          </w:p>
        </w:tc>
        <w:tc>
          <w:tcPr>
            <w:tcW w:w="1120" w:type="dxa"/>
            <w:tcBorders>
              <w:top w:val="single" w:sz="4" w:space="0" w:color="auto"/>
              <w:left w:val="nil"/>
              <w:bottom w:val="single" w:sz="8" w:space="0" w:color="auto"/>
              <w:right w:val="nil"/>
            </w:tcBorders>
            <w:shd w:val="clear" w:color="auto" w:fill="auto"/>
            <w:noWrap/>
            <w:vAlign w:val="center"/>
            <w:hideMark/>
          </w:tcPr>
          <w:p w14:paraId="32B217E4"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172,0</w:t>
            </w:r>
          </w:p>
        </w:tc>
        <w:tc>
          <w:tcPr>
            <w:tcW w:w="1120" w:type="dxa"/>
            <w:tcBorders>
              <w:top w:val="single" w:sz="4" w:space="0" w:color="auto"/>
              <w:left w:val="nil"/>
              <w:bottom w:val="single" w:sz="8" w:space="0" w:color="auto"/>
              <w:right w:val="nil"/>
            </w:tcBorders>
            <w:shd w:val="clear" w:color="auto" w:fill="auto"/>
            <w:noWrap/>
            <w:vAlign w:val="center"/>
            <w:hideMark/>
          </w:tcPr>
          <w:p w14:paraId="754B49A3"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78 %</w:t>
            </w:r>
          </w:p>
        </w:tc>
        <w:tc>
          <w:tcPr>
            <w:tcW w:w="1120" w:type="dxa"/>
            <w:tcBorders>
              <w:top w:val="single" w:sz="4" w:space="0" w:color="auto"/>
              <w:left w:val="nil"/>
              <w:bottom w:val="single" w:sz="8" w:space="0" w:color="auto"/>
              <w:right w:val="nil"/>
            </w:tcBorders>
            <w:shd w:val="clear" w:color="auto" w:fill="auto"/>
            <w:noWrap/>
            <w:vAlign w:val="center"/>
            <w:hideMark/>
          </w:tcPr>
          <w:p w14:paraId="6454DAD0"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93,0</w:t>
            </w:r>
          </w:p>
        </w:tc>
        <w:tc>
          <w:tcPr>
            <w:tcW w:w="1120" w:type="dxa"/>
            <w:tcBorders>
              <w:top w:val="single" w:sz="4" w:space="0" w:color="auto"/>
              <w:left w:val="nil"/>
              <w:bottom w:val="single" w:sz="8" w:space="0" w:color="auto"/>
              <w:right w:val="nil"/>
            </w:tcBorders>
            <w:shd w:val="clear" w:color="auto" w:fill="auto"/>
            <w:noWrap/>
            <w:vAlign w:val="center"/>
            <w:hideMark/>
          </w:tcPr>
          <w:p w14:paraId="265B4D48"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54 %</w:t>
            </w:r>
          </w:p>
        </w:tc>
      </w:tr>
    </w:tbl>
    <w:p w14:paraId="1CAF9EED" w14:textId="77777777" w:rsidR="0093656E" w:rsidRPr="00CD71E6" w:rsidRDefault="0093656E" w:rsidP="007D4FDA">
      <w:pPr>
        <w:pStyle w:val="Heading3"/>
        <w:keepNext/>
        <w:rPr>
          <w:lang w:val="fr-CA"/>
        </w:rPr>
      </w:pPr>
      <w:bookmarkStart w:id="41" w:name="_Toc41053700"/>
      <w:r w:rsidRPr="00CD71E6">
        <w:rPr>
          <w:bCs/>
          <w:lang w:val="fr-CA"/>
        </w:rPr>
        <w:t>Au 31 mars 2014</w:t>
      </w:r>
      <w:bookmarkEnd w:id="41"/>
    </w:p>
    <w:tbl>
      <w:tblPr>
        <w:tblW w:w="9600" w:type="dxa"/>
        <w:tblInd w:w="93" w:type="dxa"/>
        <w:tblLook w:val="04A0" w:firstRow="1" w:lastRow="0" w:firstColumn="1" w:lastColumn="0" w:noHBand="0" w:noVBand="1"/>
      </w:tblPr>
      <w:tblGrid>
        <w:gridCol w:w="1440"/>
        <w:gridCol w:w="1440"/>
        <w:gridCol w:w="1120"/>
        <w:gridCol w:w="1120"/>
        <w:gridCol w:w="1120"/>
        <w:gridCol w:w="1120"/>
        <w:gridCol w:w="1147"/>
        <w:gridCol w:w="1416"/>
      </w:tblGrid>
      <w:tr w:rsidR="00447426" w:rsidRPr="00CD71E6" w14:paraId="1BB68E71" w14:textId="77777777" w:rsidTr="00447426">
        <w:trPr>
          <w:trHeight w:val="300"/>
        </w:trPr>
        <w:tc>
          <w:tcPr>
            <w:tcW w:w="1440" w:type="dxa"/>
            <w:tcBorders>
              <w:top w:val="nil"/>
              <w:left w:val="nil"/>
              <w:bottom w:val="nil"/>
              <w:right w:val="nil"/>
            </w:tcBorders>
            <w:shd w:val="clear" w:color="auto" w:fill="auto"/>
            <w:noWrap/>
            <w:vAlign w:val="bottom"/>
            <w:hideMark/>
          </w:tcPr>
          <w:p w14:paraId="59958574" w14:textId="77777777" w:rsidR="00447426" w:rsidRPr="00CD71E6" w:rsidRDefault="00447426" w:rsidP="007D4FDA">
            <w:pPr>
              <w:keepNext/>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582D9EF6" w14:textId="77777777" w:rsidR="00447426" w:rsidRPr="00CD71E6" w:rsidRDefault="00447426" w:rsidP="007D4FDA">
            <w:pPr>
              <w:keepNext/>
              <w:spacing w:after="0" w:line="240" w:lineRule="auto"/>
              <w:rPr>
                <w:rFonts w:eastAsia="Times New Roman"/>
                <w:color w:val="000000"/>
                <w:kern w:val="0"/>
                <w:sz w:val="20"/>
                <w:lang w:val="fr-CA"/>
                <w14:ligatures w14:val="none"/>
              </w:rPr>
            </w:pPr>
          </w:p>
        </w:tc>
        <w:tc>
          <w:tcPr>
            <w:tcW w:w="4480" w:type="dxa"/>
            <w:gridSpan w:val="4"/>
            <w:tcBorders>
              <w:top w:val="nil"/>
              <w:left w:val="nil"/>
              <w:bottom w:val="nil"/>
              <w:right w:val="nil"/>
            </w:tcBorders>
            <w:shd w:val="clear" w:color="000000" w:fill="000000"/>
            <w:noWrap/>
            <w:vAlign w:val="center"/>
            <w:hideMark/>
          </w:tcPr>
          <w:p w14:paraId="69383747" w14:textId="77777777" w:rsidR="00447426" w:rsidRPr="00CD71E6" w:rsidRDefault="00447426" w:rsidP="007D4FDA">
            <w:pPr>
              <w:keepNext/>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Nombre total de postes</w:t>
            </w:r>
          </w:p>
        </w:tc>
        <w:tc>
          <w:tcPr>
            <w:tcW w:w="2240" w:type="dxa"/>
            <w:gridSpan w:val="2"/>
            <w:tcBorders>
              <w:top w:val="nil"/>
              <w:left w:val="nil"/>
              <w:bottom w:val="nil"/>
              <w:right w:val="nil"/>
            </w:tcBorders>
            <w:shd w:val="clear" w:color="000000" w:fill="000000"/>
            <w:noWrap/>
            <w:vAlign w:val="center"/>
            <w:hideMark/>
          </w:tcPr>
          <w:p w14:paraId="2CAD9EEC" w14:textId="08AC1C77" w:rsidR="00447426" w:rsidRPr="00CD71E6" w:rsidRDefault="004B4DDA" w:rsidP="007D4FDA">
            <w:pPr>
              <w:keepNext/>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Inuits</w:t>
            </w:r>
          </w:p>
        </w:tc>
      </w:tr>
      <w:tr w:rsidR="00447426" w:rsidRPr="00CD71E6" w14:paraId="75409F4F" w14:textId="77777777" w:rsidTr="00447426">
        <w:trPr>
          <w:trHeight w:val="300"/>
        </w:trPr>
        <w:tc>
          <w:tcPr>
            <w:tcW w:w="1440" w:type="dxa"/>
            <w:tcBorders>
              <w:top w:val="nil"/>
              <w:left w:val="nil"/>
              <w:bottom w:val="nil"/>
              <w:right w:val="nil"/>
            </w:tcBorders>
            <w:shd w:val="clear" w:color="auto" w:fill="auto"/>
            <w:noWrap/>
            <w:vAlign w:val="bottom"/>
            <w:hideMark/>
          </w:tcPr>
          <w:p w14:paraId="45833C33" w14:textId="77777777" w:rsidR="00447426" w:rsidRPr="00CD71E6" w:rsidRDefault="00447426" w:rsidP="007D4FDA">
            <w:pPr>
              <w:keepNext/>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56A93E60" w14:textId="77777777" w:rsidR="00447426" w:rsidRPr="00CD71E6" w:rsidRDefault="00447426" w:rsidP="007D4FDA">
            <w:pPr>
              <w:keepNext/>
              <w:spacing w:after="0" w:line="240" w:lineRule="auto"/>
              <w:rPr>
                <w:rFonts w:eastAsia="Times New Roman"/>
                <w:color w:val="000000"/>
                <w:kern w:val="0"/>
                <w:sz w:val="20"/>
                <w:lang w:val="fr-CA"/>
                <w14:ligatures w14:val="none"/>
              </w:rPr>
            </w:pPr>
          </w:p>
        </w:tc>
        <w:tc>
          <w:tcPr>
            <w:tcW w:w="1120" w:type="dxa"/>
            <w:vMerge w:val="restart"/>
            <w:tcBorders>
              <w:top w:val="nil"/>
              <w:left w:val="nil"/>
              <w:bottom w:val="nil"/>
              <w:right w:val="nil"/>
            </w:tcBorders>
            <w:shd w:val="clear" w:color="000000" w:fill="000000"/>
            <w:vAlign w:val="bottom"/>
            <w:hideMark/>
          </w:tcPr>
          <w:p w14:paraId="35CADE83" w14:textId="77777777" w:rsidR="00447426" w:rsidRPr="00CD71E6" w:rsidRDefault="00447426" w:rsidP="007D4FDA">
            <w:pPr>
              <w:keepNext/>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Nombre total de postes</w:t>
            </w:r>
          </w:p>
        </w:tc>
        <w:tc>
          <w:tcPr>
            <w:tcW w:w="1120" w:type="dxa"/>
            <w:vMerge w:val="restart"/>
            <w:tcBorders>
              <w:top w:val="nil"/>
              <w:left w:val="nil"/>
              <w:bottom w:val="nil"/>
              <w:right w:val="nil"/>
            </w:tcBorders>
            <w:shd w:val="clear" w:color="000000" w:fill="000000"/>
            <w:vAlign w:val="bottom"/>
            <w:hideMark/>
          </w:tcPr>
          <w:p w14:paraId="42C7282C" w14:textId="77777777" w:rsidR="00447426" w:rsidRPr="00CD71E6" w:rsidRDefault="00447426" w:rsidP="007D4FDA">
            <w:pPr>
              <w:keepNext/>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vacants</w:t>
            </w:r>
          </w:p>
        </w:tc>
        <w:tc>
          <w:tcPr>
            <w:tcW w:w="1120" w:type="dxa"/>
            <w:vMerge w:val="restart"/>
            <w:tcBorders>
              <w:top w:val="nil"/>
              <w:left w:val="nil"/>
              <w:bottom w:val="single" w:sz="8" w:space="0" w:color="000000"/>
              <w:right w:val="nil"/>
            </w:tcBorders>
            <w:shd w:val="clear" w:color="000000" w:fill="000000"/>
            <w:vAlign w:val="bottom"/>
            <w:hideMark/>
          </w:tcPr>
          <w:p w14:paraId="6D5CFEFE" w14:textId="77777777" w:rsidR="00447426" w:rsidRPr="00CD71E6" w:rsidRDefault="00447426" w:rsidP="007D4FDA">
            <w:pPr>
              <w:keepNext/>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pourvus</w:t>
            </w:r>
          </w:p>
        </w:tc>
        <w:tc>
          <w:tcPr>
            <w:tcW w:w="1120" w:type="dxa"/>
            <w:vMerge w:val="restart"/>
            <w:tcBorders>
              <w:top w:val="nil"/>
              <w:left w:val="nil"/>
              <w:bottom w:val="single" w:sz="8" w:space="0" w:color="000000"/>
              <w:right w:val="nil"/>
            </w:tcBorders>
            <w:shd w:val="clear" w:color="000000" w:fill="000000"/>
            <w:vAlign w:val="bottom"/>
            <w:hideMark/>
          </w:tcPr>
          <w:p w14:paraId="23AF3C67" w14:textId="77777777" w:rsidR="00447426" w:rsidRPr="00CD71E6" w:rsidRDefault="00447426" w:rsidP="007D4FDA">
            <w:pPr>
              <w:keepNext/>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de la capacité</w:t>
            </w:r>
          </w:p>
        </w:tc>
        <w:tc>
          <w:tcPr>
            <w:tcW w:w="1120" w:type="dxa"/>
            <w:tcBorders>
              <w:top w:val="nil"/>
              <w:left w:val="nil"/>
              <w:bottom w:val="nil"/>
              <w:right w:val="nil"/>
            </w:tcBorders>
            <w:shd w:val="clear" w:color="000000" w:fill="000000"/>
            <w:vAlign w:val="center"/>
            <w:hideMark/>
          </w:tcPr>
          <w:p w14:paraId="14AD0513" w14:textId="77777777" w:rsidR="00447426" w:rsidRPr="00CD71E6" w:rsidRDefault="00447426" w:rsidP="007D4FDA">
            <w:pPr>
              <w:keepNext/>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c>
          <w:tcPr>
            <w:tcW w:w="1120" w:type="dxa"/>
            <w:tcBorders>
              <w:top w:val="nil"/>
              <w:left w:val="nil"/>
              <w:bottom w:val="nil"/>
              <w:right w:val="nil"/>
            </w:tcBorders>
            <w:shd w:val="clear" w:color="000000" w:fill="000000"/>
            <w:vAlign w:val="center"/>
            <w:hideMark/>
          </w:tcPr>
          <w:p w14:paraId="4CA87295" w14:textId="77777777" w:rsidR="00447426" w:rsidRPr="00CD71E6" w:rsidRDefault="00447426" w:rsidP="007D4FDA">
            <w:pPr>
              <w:keepNext/>
              <w:spacing w:after="0" w:line="240" w:lineRule="auto"/>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r>
      <w:tr w:rsidR="00447426" w:rsidRPr="004373E7" w14:paraId="3CB00F5C" w14:textId="77777777" w:rsidTr="00B01B52">
        <w:trPr>
          <w:trHeight w:val="315"/>
        </w:trPr>
        <w:tc>
          <w:tcPr>
            <w:tcW w:w="1440" w:type="dxa"/>
            <w:tcBorders>
              <w:top w:val="nil"/>
              <w:left w:val="nil"/>
              <w:bottom w:val="nil"/>
              <w:right w:val="nil"/>
            </w:tcBorders>
            <w:shd w:val="clear" w:color="auto" w:fill="auto"/>
            <w:noWrap/>
            <w:vAlign w:val="bottom"/>
            <w:hideMark/>
          </w:tcPr>
          <w:p w14:paraId="4B2C8A17"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06BA7FE2"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1120" w:type="dxa"/>
            <w:vMerge/>
            <w:tcBorders>
              <w:top w:val="nil"/>
              <w:left w:val="nil"/>
              <w:bottom w:val="nil"/>
              <w:right w:val="nil"/>
            </w:tcBorders>
            <w:vAlign w:val="center"/>
            <w:hideMark/>
          </w:tcPr>
          <w:p w14:paraId="3BC8A751" w14:textId="77777777" w:rsidR="00447426" w:rsidRPr="00CD71E6" w:rsidRDefault="00447426" w:rsidP="00447426">
            <w:pPr>
              <w:spacing w:after="0" w:line="240" w:lineRule="auto"/>
              <w:rPr>
                <w:rFonts w:eastAsia="Times New Roman"/>
                <w:color w:val="FFFFFF"/>
                <w:kern w:val="0"/>
                <w:sz w:val="20"/>
                <w:lang w:val="fr-CA"/>
                <w14:ligatures w14:val="none"/>
              </w:rPr>
            </w:pPr>
          </w:p>
        </w:tc>
        <w:tc>
          <w:tcPr>
            <w:tcW w:w="1120" w:type="dxa"/>
            <w:vMerge/>
            <w:tcBorders>
              <w:top w:val="nil"/>
              <w:left w:val="nil"/>
              <w:bottom w:val="nil"/>
              <w:right w:val="nil"/>
            </w:tcBorders>
            <w:vAlign w:val="center"/>
            <w:hideMark/>
          </w:tcPr>
          <w:p w14:paraId="1BC79A55" w14:textId="77777777" w:rsidR="00447426" w:rsidRPr="00CD71E6" w:rsidRDefault="00447426" w:rsidP="00447426">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5378626E" w14:textId="77777777" w:rsidR="00447426" w:rsidRPr="00CD71E6" w:rsidRDefault="00447426" w:rsidP="00447426">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4C64EE9A" w14:textId="77777777" w:rsidR="00447426" w:rsidRPr="00CD71E6" w:rsidRDefault="00447426" w:rsidP="00447426">
            <w:pPr>
              <w:spacing w:after="0" w:line="240" w:lineRule="auto"/>
              <w:rPr>
                <w:rFonts w:eastAsia="Times New Roman"/>
                <w:color w:val="FFFFFF"/>
                <w:kern w:val="0"/>
                <w:sz w:val="20"/>
                <w:lang w:val="fr-CA"/>
                <w14:ligatures w14:val="none"/>
              </w:rPr>
            </w:pPr>
          </w:p>
        </w:tc>
        <w:tc>
          <w:tcPr>
            <w:tcW w:w="1120" w:type="dxa"/>
            <w:tcBorders>
              <w:top w:val="nil"/>
              <w:left w:val="nil"/>
              <w:bottom w:val="nil"/>
              <w:right w:val="nil"/>
            </w:tcBorders>
            <w:shd w:val="clear" w:color="000000" w:fill="000000"/>
            <w:vAlign w:val="bottom"/>
            <w:hideMark/>
          </w:tcPr>
          <w:p w14:paraId="57225F36" w14:textId="77777777" w:rsidR="00447426" w:rsidRPr="00CD71E6" w:rsidRDefault="00447426" w:rsidP="000B2E62">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Embauchés</w:t>
            </w:r>
          </w:p>
        </w:tc>
        <w:tc>
          <w:tcPr>
            <w:tcW w:w="1120" w:type="dxa"/>
            <w:tcBorders>
              <w:top w:val="nil"/>
              <w:left w:val="nil"/>
              <w:bottom w:val="single" w:sz="8" w:space="0" w:color="auto"/>
              <w:right w:val="nil"/>
            </w:tcBorders>
            <w:shd w:val="clear" w:color="000000" w:fill="000000"/>
            <w:vAlign w:val="center"/>
            <w:hideMark/>
          </w:tcPr>
          <w:p w14:paraId="5CAB8F94"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du plan d’embauchage des Inuits</w:t>
            </w:r>
          </w:p>
        </w:tc>
      </w:tr>
      <w:tr w:rsidR="00447426" w:rsidRPr="00CD71E6" w14:paraId="5591CDFA"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494A1A28"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direction</w:t>
            </w:r>
          </w:p>
        </w:tc>
        <w:tc>
          <w:tcPr>
            <w:tcW w:w="1120" w:type="dxa"/>
            <w:tcBorders>
              <w:top w:val="single" w:sz="8" w:space="0" w:color="auto"/>
              <w:left w:val="nil"/>
              <w:bottom w:val="nil"/>
              <w:right w:val="nil"/>
            </w:tcBorders>
            <w:shd w:val="clear" w:color="auto" w:fill="auto"/>
            <w:noWrap/>
            <w:vAlign w:val="center"/>
            <w:hideMark/>
          </w:tcPr>
          <w:p w14:paraId="3ADA534A"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w:t>
            </w:r>
          </w:p>
        </w:tc>
        <w:tc>
          <w:tcPr>
            <w:tcW w:w="1120" w:type="dxa"/>
            <w:tcBorders>
              <w:top w:val="single" w:sz="8" w:space="0" w:color="auto"/>
              <w:left w:val="nil"/>
              <w:bottom w:val="nil"/>
              <w:right w:val="nil"/>
            </w:tcBorders>
            <w:shd w:val="clear" w:color="auto" w:fill="auto"/>
            <w:noWrap/>
            <w:vAlign w:val="center"/>
            <w:hideMark/>
          </w:tcPr>
          <w:p w14:paraId="64BA00CB"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0,0</w:t>
            </w:r>
          </w:p>
        </w:tc>
        <w:tc>
          <w:tcPr>
            <w:tcW w:w="1120" w:type="dxa"/>
            <w:tcBorders>
              <w:top w:val="nil"/>
              <w:left w:val="nil"/>
              <w:bottom w:val="nil"/>
              <w:right w:val="nil"/>
            </w:tcBorders>
            <w:shd w:val="clear" w:color="auto" w:fill="auto"/>
            <w:noWrap/>
            <w:vAlign w:val="center"/>
            <w:hideMark/>
          </w:tcPr>
          <w:p w14:paraId="4EBD4D74"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w:t>
            </w:r>
          </w:p>
        </w:tc>
        <w:tc>
          <w:tcPr>
            <w:tcW w:w="1120" w:type="dxa"/>
            <w:tcBorders>
              <w:top w:val="nil"/>
              <w:left w:val="nil"/>
              <w:bottom w:val="nil"/>
              <w:right w:val="nil"/>
            </w:tcBorders>
            <w:shd w:val="clear" w:color="auto" w:fill="auto"/>
            <w:noWrap/>
            <w:vAlign w:val="center"/>
            <w:hideMark/>
          </w:tcPr>
          <w:p w14:paraId="4F512F96"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c>
          <w:tcPr>
            <w:tcW w:w="1120" w:type="dxa"/>
            <w:tcBorders>
              <w:top w:val="single" w:sz="8" w:space="0" w:color="auto"/>
              <w:left w:val="nil"/>
              <w:bottom w:val="nil"/>
              <w:right w:val="nil"/>
            </w:tcBorders>
            <w:shd w:val="clear" w:color="auto" w:fill="auto"/>
            <w:noWrap/>
            <w:vAlign w:val="center"/>
            <w:hideMark/>
          </w:tcPr>
          <w:p w14:paraId="789B5C2A"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0,0</w:t>
            </w:r>
          </w:p>
        </w:tc>
        <w:tc>
          <w:tcPr>
            <w:tcW w:w="1120" w:type="dxa"/>
            <w:tcBorders>
              <w:top w:val="nil"/>
              <w:left w:val="nil"/>
              <w:bottom w:val="nil"/>
              <w:right w:val="nil"/>
            </w:tcBorders>
            <w:shd w:val="clear" w:color="auto" w:fill="auto"/>
            <w:noWrap/>
            <w:vAlign w:val="center"/>
            <w:hideMark/>
          </w:tcPr>
          <w:p w14:paraId="7B2BACD1"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0 %</w:t>
            </w:r>
          </w:p>
        </w:tc>
      </w:tr>
      <w:tr w:rsidR="00447426" w:rsidRPr="00CD71E6" w14:paraId="07782082"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5597D9FE"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supérieurs</w:t>
            </w:r>
          </w:p>
        </w:tc>
        <w:tc>
          <w:tcPr>
            <w:tcW w:w="1120" w:type="dxa"/>
            <w:tcBorders>
              <w:top w:val="nil"/>
              <w:left w:val="nil"/>
              <w:bottom w:val="nil"/>
              <w:right w:val="nil"/>
            </w:tcBorders>
            <w:shd w:val="clear" w:color="auto" w:fill="auto"/>
            <w:noWrap/>
            <w:vAlign w:val="center"/>
            <w:hideMark/>
          </w:tcPr>
          <w:p w14:paraId="3D92CDE0"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w:t>
            </w:r>
          </w:p>
        </w:tc>
        <w:tc>
          <w:tcPr>
            <w:tcW w:w="1120" w:type="dxa"/>
            <w:tcBorders>
              <w:top w:val="nil"/>
              <w:left w:val="nil"/>
              <w:bottom w:val="nil"/>
              <w:right w:val="nil"/>
            </w:tcBorders>
            <w:shd w:val="clear" w:color="auto" w:fill="auto"/>
            <w:noWrap/>
            <w:vAlign w:val="center"/>
            <w:hideMark/>
          </w:tcPr>
          <w:p w14:paraId="43F0D3BB"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0,0</w:t>
            </w:r>
          </w:p>
        </w:tc>
        <w:tc>
          <w:tcPr>
            <w:tcW w:w="1120" w:type="dxa"/>
            <w:tcBorders>
              <w:top w:val="nil"/>
              <w:left w:val="nil"/>
              <w:bottom w:val="nil"/>
              <w:right w:val="nil"/>
            </w:tcBorders>
            <w:shd w:val="clear" w:color="auto" w:fill="auto"/>
            <w:noWrap/>
            <w:vAlign w:val="center"/>
            <w:hideMark/>
          </w:tcPr>
          <w:p w14:paraId="08F7801C"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w:t>
            </w:r>
          </w:p>
        </w:tc>
        <w:tc>
          <w:tcPr>
            <w:tcW w:w="1120" w:type="dxa"/>
            <w:tcBorders>
              <w:top w:val="nil"/>
              <w:left w:val="nil"/>
              <w:bottom w:val="nil"/>
              <w:right w:val="nil"/>
            </w:tcBorders>
            <w:shd w:val="clear" w:color="auto" w:fill="auto"/>
            <w:noWrap/>
            <w:vAlign w:val="center"/>
            <w:hideMark/>
          </w:tcPr>
          <w:p w14:paraId="19FA571D"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c>
          <w:tcPr>
            <w:tcW w:w="1120" w:type="dxa"/>
            <w:tcBorders>
              <w:top w:val="nil"/>
              <w:left w:val="nil"/>
              <w:bottom w:val="nil"/>
              <w:right w:val="nil"/>
            </w:tcBorders>
            <w:shd w:val="clear" w:color="auto" w:fill="auto"/>
            <w:noWrap/>
            <w:vAlign w:val="center"/>
            <w:hideMark/>
          </w:tcPr>
          <w:p w14:paraId="33ECBC11"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3,0</w:t>
            </w:r>
          </w:p>
        </w:tc>
        <w:tc>
          <w:tcPr>
            <w:tcW w:w="1120" w:type="dxa"/>
            <w:tcBorders>
              <w:top w:val="nil"/>
              <w:left w:val="nil"/>
              <w:bottom w:val="nil"/>
              <w:right w:val="nil"/>
            </w:tcBorders>
            <w:shd w:val="clear" w:color="auto" w:fill="auto"/>
            <w:noWrap/>
            <w:vAlign w:val="center"/>
            <w:hideMark/>
          </w:tcPr>
          <w:p w14:paraId="1BF7AB6C"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43 %</w:t>
            </w:r>
          </w:p>
        </w:tc>
      </w:tr>
      <w:tr w:rsidR="00447426" w:rsidRPr="00CD71E6" w14:paraId="216056DF"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683DFA3"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intermédiaires</w:t>
            </w:r>
          </w:p>
        </w:tc>
        <w:tc>
          <w:tcPr>
            <w:tcW w:w="1120" w:type="dxa"/>
            <w:tcBorders>
              <w:top w:val="nil"/>
              <w:left w:val="nil"/>
              <w:bottom w:val="nil"/>
              <w:right w:val="nil"/>
            </w:tcBorders>
            <w:shd w:val="clear" w:color="auto" w:fill="auto"/>
            <w:noWrap/>
            <w:vAlign w:val="center"/>
            <w:hideMark/>
          </w:tcPr>
          <w:p w14:paraId="2C2743D6"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27,0</w:t>
            </w:r>
          </w:p>
        </w:tc>
        <w:tc>
          <w:tcPr>
            <w:tcW w:w="1120" w:type="dxa"/>
            <w:tcBorders>
              <w:top w:val="nil"/>
              <w:left w:val="nil"/>
              <w:bottom w:val="nil"/>
              <w:right w:val="nil"/>
            </w:tcBorders>
            <w:shd w:val="clear" w:color="auto" w:fill="auto"/>
            <w:noWrap/>
            <w:vAlign w:val="center"/>
            <w:hideMark/>
          </w:tcPr>
          <w:p w14:paraId="7962377D"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4,0</w:t>
            </w:r>
          </w:p>
        </w:tc>
        <w:tc>
          <w:tcPr>
            <w:tcW w:w="1120" w:type="dxa"/>
            <w:tcBorders>
              <w:top w:val="nil"/>
              <w:left w:val="nil"/>
              <w:bottom w:val="nil"/>
              <w:right w:val="nil"/>
            </w:tcBorders>
            <w:shd w:val="clear" w:color="auto" w:fill="auto"/>
            <w:noWrap/>
            <w:vAlign w:val="center"/>
            <w:hideMark/>
          </w:tcPr>
          <w:p w14:paraId="47F7B2F1"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23,0</w:t>
            </w:r>
          </w:p>
        </w:tc>
        <w:tc>
          <w:tcPr>
            <w:tcW w:w="1120" w:type="dxa"/>
            <w:tcBorders>
              <w:top w:val="nil"/>
              <w:left w:val="nil"/>
              <w:bottom w:val="nil"/>
              <w:right w:val="nil"/>
            </w:tcBorders>
            <w:shd w:val="clear" w:color="auto" w:fill="auto"/>
            <w:noWrap/>
            <w:vAlign w:val="center"/>
            <w:hideMark/>
          </w:tcPr>
          <w:p w14:paraId="04989D0C"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85 %</w:t>
            </w:r>
          </w:p>
        </w:tc>
        <w:tc>
          <w:tcPr>
            <w:tcW w:w="1120" w:type="dxa"/>
            <w:tcBorders>
              <w:top w:val="nil"/>
              <w:left w:val="nil"/>
              <w:bottom w:val="nil"/>
              <w:right w:val="nil"/>
            </w:tcBorders>
            <w:shd w:val="clear" w:color="auto" w:fill="auto"/>
            <w:noWrap/>
            <w:vAlign w:val="center"/>
            <w:hideMark/>
          </w:tcPr>
          <w:p w14:paraId="6DCD9280"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8,0</w:t>
            </w:r>
          </w:p>
        </w:tc>
        <w:tc>
          <w:tcPr>
            <w:tcW w:w="1120" w:type="dxa"/>
            <w:tcBorders>
              <w:top w:val="nil"/>
              <w:left w:val="nil"/>
              <w:bottom w:val="nil"/>
              <w:right w:val="nil"/>
            </w:tcBorders>
            <w:shd w:val="clear" w:color="auto" w:fill="auto"/>
            <w:noWrap/>
            <w:vAlign w:val="center"/>
            <w:hideMark/>
          </w:tcPr>
          <w:p w14:paraId="027A1ABC"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35 %</w:t>
            </w:r>
          </w:p>
        </w:tc>
      </w:tr>
      <w:tr w:rsidR="00447426" w:rsidRPr="00CD71E6" w14:paraId="2B02BB9F"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07F161D0"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professionnels</w:t>
            </w:r>
          </w:p>
        </w:tc>
        <w:tc>
          <w:tcPr>
            <w:tcW w:w="1120" w:type="dxa"/>
            <w:tcBorders>
              <w:top w:val="nil"/>
              <w:left w:val="nil"/>
              <w:bottom w:val="nil"/>
              <w:right w:val="nil"/>
            </w:tcBorders>
            <w:shd w:val="clear" w:color="auto" w:fill="auto"/>
            <w:noWrap/>
            <w:vAlign w:val="center"/>
            <w:hideMark/>
          </w:tcPr>
          <w:p w14:paraId="524226E7"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100,0</w:t>
            </w:r>
          </w:p>
        </w:tc>
        <w:tc>
          <w:tcPr>
            <w:tcW w:w="1120" w:type="dxa"/>
            <w:tcBorders>
              <w:top w:val="nil"/>
              <w:left w:val="nil"/>
              <w:bottom w:val="nil"/>
              <w:right w:val="nil"/>
            </w:tcBorders>
            <w:shd w:val="clear" w:color="auto" w:fill="auto"/>
            <w:noWrap/>
            <w:vAlign w:val="center"/>
            <w:hideMark/>
          </w:tcPr>
          <w:p w14:paraId="4EDB4A8D"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17,0</w:t>
            </w:r>
          </w:p>
        </w:tc>
        <w:tc>
          <w:tcPr>
            <w:tcW w:w="1120" w:type="dxa"/>
            <w:tcBorders>
              <w:top w:val="nil"/>
              <w:left w:val="nil"/>
              <w:bottom w:val="nil"/>
              <w:right w:val="nil"/>
            </w:tcBorders>
            <w:shd w:val="clear" w:color="auto" w:fill="auto"/>
            <w:noWrap/>
            <w:vAlign w:val="center"/>
            <w:hideMark/>
          </w:tcPr>
          <w:p w14:paraId="4DC7ECDF"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83,0</w:t>
            </w:r>
          </w:p>
        </w:tc>
        <w:tc>
          <w:tcPr>
            <w:tcW w:w="1120" w:type="dxa"/>
            <w:tcBorders>
              <w:top w:val="nil"/>
              <w:left w:val="nil"/>
              <w:bottom w:val="nil"/>
              <w:right w:val="nil"/>
            </w:tcBorders>
            <w:shd w:val="clear" w:color="auto" w:fill="auto"/>
            <w:noWrap/>
            <w:vAlign w:val="center"/>
            <w:hideMark/>
          </w:tcPr>
          <w:p w14:paraId="09D70533"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83 %</w:t>
            </w:r>
          </w:p>
        </w:tc>
        <w:tc>
          <w:tcPr>
            <w:tcW w:w="1120" w:type="dxa"/>
            <w:tcBorders>
              <w:top w:val="nil"/>
              <w:left w:val="nil"/>
              <w:bottom w:val="nil"/>
              <w:right w:val="nil"/>
            </w:tcBorders>
            <w:shd w:val="clear" w:color="auto" w:fill="auto"/>
            <w:noWrap/>
            <w:vAlign w:val="center"/>
            <w:hideMark/>
          </w:tcPr>
          <w:p w14:paraId="18EF355E"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41,0</w:t>
            </w:r>
          </w:p>
        </w:tc>
        <w:tc>
          <w:tcPr>
            <w:tcW w:w="1120" w:type="dxa"/>
            <w:tcBorders>
              <w:top w:val="nil"/>
              <w:left w:val="nil"/>
              <w:bottom w:val="nil"/>
              <w:right w:val="nil"/>
            </w:tcBorders>
            <w:shd w:val="clear" w:color="auto" w:fill="auto"/>
            <w:noWrap/>
            <w:vAlign w:val="center"/>
            <w:hideMark/>
          </w:tcPr>
          <w:p w14:paraId="2BDF27B3"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49 %</w:t>
            </w:r>
          </w:p>
        </w:tc>
      </w:tr>
      <w:tr w:rsidR="00447426" w:rsidRPr="00CD71E6" w14:paraId="6E576D55"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2E48214"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paraprofessionnels</w:t>
            </w:r>
          </w:p>
        </w:tc>
        <w:tc>
          <w:tcPr>
            <w:tcW w:w="1120" w:type="dxa"/>
            <w:tcBorders>
              <w:top w:val="nil"/>
              <w:left w:val="nil"/>
              <w:bottom w:val="nil"/>
              <w:right w:val="nil"/>
            </w:tcBorders>
            <w:shd w:val="clear" w:color="auto" w:fill="auto"/>
            <w:noWrap/>
            <w:vAlign w:val="center"/>
            <w:hideMark/>
          </w:tcPr>
          <w:p w14:paraId="335EFF66"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24,0</w:t>
            </w:r>
          </w:p>
        </w:tc>
        <w:tc>
          <w:tcPr>
            <w:tcW w:w="1120" w:type="dxa"/>
            <w:tcBorders>
              <w:top w:val="nil"/>
              <w:left w:val="nil"/>
              <w:bottom w:val="nil"/>
              <w:right w:val="nil"/>
            </w:tcBorders>
            <w:shd w:val="clear" w:color="auto" w:fill="auto"/>
            <w:noWrap/>
            <w:vAlign w:val="center"/>
            <w:hideMark/>
          </w:tcPr>
          <w:p w14:paraId="5E78C67E"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w:t>
            </w:r>
          </w:p>
        </w:tc>
        <w:tc>
          <w:tcPr>
            <w:tcW w:w="1120" w:type="dxa"/>
            <w:tcBorders>
              <w:top w:val="nil"/>
              <w:left w:val="nil"/>
              <w:bottom w:val="nil"/>
              <w:right w:val="nil"/>
            </w:tcBorders>
            <w:shd w:val="clear" w:color="auto" w:fill="auto"/>
            <w:noWrap/>
            <w:vAlign w:val="center"/>
            <w:hideMark/>
          </w:tcPr>
          <w:p w14:paraId="5A63B2D4"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17,0</w:t>
            </w:r>
          </w:p>
        </w:tc>
        <w:tc>
          <w:tcPr>
            <w:tcW w:w="1120" w:type="dxa"/>
            <w:tcBorders>
              <w:top w:val="nil"/>
              <w:left w:val="nil"/>
              <w:bottom w:val="nil"/>
              <w:right w:val="nil"/>
            </w:tcBorders>
            <w:shd w:val="clear" w:color="auto" w:fill="auto"/>
            <w:noWrap/>
            <w:vAlign w:val="center"/>
            <w:hideMark/>
          </w:tcPr>
          <w:p w14:paraId="3DD04DCD"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71 %</w:t>
            </w:r>
          </w:p>
        </w:tc>
        <w:tc>
          <w:tcPr>
            <w:tcW w:w="1120" w:type="dxa"/>
            <w:tcBorders>
              <w:top w:val="nil"/>
              <w:left w:val="nil"/>
              <w:bottom w:val="nil"/>
              <w:right w:val="nil"/>
            </w:tcBorders>
            <w:shd w:val="clear" w:color="auto" w:fill="auto"/>
            <w:noWrap/>
            <w:vAlign w:val="center"/>
            <w:hideMark/>
          </w:tcPr>
          <w:p w14:paraId="7B4582B1"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9,0</w:t>
            </w:r>
          </w:p>
        </w:tc>
        <w:tc>
          <w:tcPr>
            <w:tcW w:w="1120" w:type="dxa"/>
            <w:tcBorders>
              <w:top w:val="nil"/>
              <w:left w:val="nil"/>
              <w:bottom w:val="nil"/>
              <w:right w:val="nil"/>
            </w:tcBorders>
            <w:shd w:val="clear" w:color="auto" w:fill="auto"/>
            <w:noWrap/>
            <w:vAlign w:val="center"/>
            <w:hideMark/>
          </w:tcPr>
          <w:p w14:paraId="34B3BC9C"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53 %</w:t>
            </w:r>
          </w:p>
        </w:tc>
      </w:tr>
      <w:tr w:rsidR="00447426" w:rsidRPr="00CD71E6" w14:paraId="5335289C"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B0A4CB7"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du soutien administratif</w:t>
            </w:r>
          </w:p>
        </w:tc>
        <w:tc>
          <w:tcPr>
            <w:tcW w:w="1120" w:type="dxa"/>
            <w:tcBorders>
              <w:top w:val="nil"/>
              <w:left w:val="nil"/>
              <w:bottom w:val="nil"/>
              <w:right w:val="nil"/>
            </w:tcBorders>
            <w:shd w:val="clear" w:color="auto" w:fill="auto"/>
            <w:noWrap/>
            <w:vAlign w:val="center"/>
            <w:hideMark/>
          </w:tcPr>
          <w:p w14:paraId="452DE577"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34,0</w:t>
            </w:r>
          </w:p>
        </w:tc>
        <w:tc>
          <w:tcPr>
            <w:tcW w:w="1120" w:type="dxa"/>
            <w:tcBorders>
              <w:top w:val="nil"/>
              <w:left w:val="nil"/>
              <w:bottom w:val="nil"/>
              <w:right w:val="nil"/>
            </w:tcBorders>
            <w:shd w:val="clear" w:color="auto" w:fill="auto"/>
            <w:noWrap/>
            <w:vAlign w:val="center"/>
            <w:hideMark/>
          </w:tcPr>
          <w:p w14:paraId="0CC8F008"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3,0</w:t>
            </w:r>
          </w:p>
        </w:tc>
        <w:tc>
          <w:tcPr>
            <w:tcW w:w="1120" w:type="dxa"/>
            <w:tcBorders>
              <w:top w:val="nil"/>
              <w:left w:val="nil"/>
              <w:bottom w:val="nil"/>
              <w:right w:val="nil"/>
            </w:tcBorders>
            <w:shd w:val="clear" w:color="auto" w:fill="auto"/>
            <w:noWrap/>
            <w:vAlign w:val="center"/>
            <w:hideMark/>
          </w:tcPr>
          <w:p w14:paraId="13AD28AB"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31,0</w:t>
            </w:r>
          </w:p>
        </w:tc>
        <w:tc>
          <w:tcPr>
            <w:tcW w:w="1120" w:type="dxa"/>
            <w:tcBorders>
              <w:top w:val="nil"/>
              <w:left w:val="nil"/>
              <w:bottom w:val="nil"/>
              <w:right w:val="nil"/>
            </w:tcBorders>
            <w:shd w:val="clear" w:color="auto" w:fill="auto"/>
            <w:noWrap/>
            <w:vAlign w:val="center"/>
            <w:hideMark/>
          </w:tcPr>
          <w:p w14:paraId="74FDDFB7"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91 %</w:t>
            </w:r>
          </w:p>
        </w:tc>
        <w:tc>
          <w:tcPr>
            <w:tcW w:w="1120" w:type="dxa"/>
            <w:tcBorders>
              <w:top w:val="nil"/>
              <w:left w:val="nil"/>
              <w:bottom w:val="nil"/>
              <w:right w:val="nil"/>
            </w:tcBorders>
            <w:shd w:val="clear" w:color="auto" w:fill="auto"/>
            <w:noWrap/>
            <w:vAlign w:val="center"/>
            <w:hideMark/>
          </w:tcPr>
          <w:p w14:paraId="4A7C6724"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29,0</w:t>
            </w:r>
          </w:p>
        </w:tc>
        <w:tc>
          <w:tcPr>
            <w:tcW w:w="1120" w:type="dxa"/>
            <w:tcBorders>
              <w:top w:val="nil"/>
              <w:left w:val="nil"/>
              <w:bottom w:val="nil"/>
              <w:right w:val="nil"/>
            </w:tcBorders>
            <w:shd w:val="clear" w:color="auto" w:fill="auto"/>
            <w:noWrap/>
            <w:vAlign w:val="center"/>
            <w:hideMark/>
          </w:tcPr>
          <w:p w14:paraId="218DAD11"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94 %</w:t>
            </w:r>
          </w:p>
        </w:tc>
      </w:tr>
      <w:tr w:rsidR="00447426" w:rsidRPr="00CD71E6" w14:paraId="0DDCCA48" w14:textId="77777777" w:rsidTr="00447426">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3963D4CB" w14:textId="77777777" w:rsidR="00447426" w:rsidRPr="00CD71E6" w:rsidRDefault="00447426" w:rsidP="00447426">
            <w:pPr>
              <w:spacing w:after="0" w:line="240" w:lineRule="auto"/>
              <w:jc w:val="right"/>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Total des catégories d’emploi</w:t>
            </w:r>
          </w:p>
        </w:tc>
        <w:tc>
          <w:tcPr>
            <w:tcW w:w="1120" w:type="dxa"/>
            <w:tcBorders>
              <w:top w:val="single" w:sz="4" w:space="0" w:color="auto"/>
              <w:left w:val="nil"/>
              <w:bottom w:val="single" w:sz="8" w:space="0" w:color="auto"/>
              <w:right w:val="nil"/>
            </w:tcBorders>
            <w:shd w:val="clear" w:color="auto" w:fill="auto"/>
            <w:noWrap/>
            <w:vAlign w:val="center"/>
            <w:hideMark/>
          </w:tcPr>
          <w:p w14:paraId="45E74DB5"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193,0</w:t>
            </w:r>
          </w:p>
        </w:tc>
        <w:tc>
          <w:tcPr>
            <w:tcW w:w="1120" w:type="dxa"/>
            <w:tcBorders>
              <w:top w:val="single" w:sz="4" w:space="0" w:color="auto"/>
              <w:left w:val="nil"/>
              <w:bottom w:val="single" w:sz="8" w:space="0" w:color="auto"/>
              <w:right w:val="nil"/>
            </w:tcBorders>
            <w:shd w:val="clear" w:color="auto" w:fill="auto"/>
            <w:noWrap/>
            <w:vAlign w:val="center"/>
            <w:hideMark/>
          </w:tcPr>
          <w:p w14:paraId="559CEA0D"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31,0</w:t>
            </w:r>
          </w:p>
        </w:tc>
        <w:tc>
          <w:tcPr>
            <w:tcW w:w="1120" w:type="dxa"/>
            <w:tcBorders>
              <w:top w:val="single" w:sz="4" w:space="0" w:color="auto"/>
              <w:left w:val="nil"/>
              <w:bottom w:val="single" w:sz="8" w:space="0" w:color="auto"/>
              <w:right w:val="nil"/>
            </w:tcBorders>
            <w:shd w:val="clear" w:color="auto" w:fill="auto"/>
            <w:noWrap/>
            <w:vAlign w:val="center"/>
            <w:hideMark/>
          </w:tcPr>
          <w:p w14:paraId="7FCBD1A1"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162,0</w:t>
            </w:r>
          </w:p>
        </w:tc>
        <w:tc>
          <w:tcPr>
            <w:tcW w:w="1120" w:type="dxa"/>
            <w:tcBorders>
              <w:top w:val="single" w:sz="4" w:space="0" w:color="auto"/>
              <w:left w:val="nil"/>
              <w:bottom w:val="single" w:sz="8" w:space="0" w:color="auto"/>
              <w:right w:val="nil"/>
            </w:tcBorders>
            <w:shd w:val="clear" w:color="auto" w:fill="auto"/>
            <w:noWrap/>
            <w:vAlign w:val="center"/>
            <w:hideMark/>
          </w:tcPr>
          <w:p w14:paraId="493616AF"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84 %</w:t>
            </w:r>
          </w:p>
        </w:tc>
        <w:tc>
          <w:tcPr>
            <w:tcW w:w="1120" w:type="dxa"/>
            <w:tcBorders>
              <w:top w:val="single" w:sz="4" w:space="0" w:color="auto"/>
              <w:left w:val="nil"/>
              <w:bottom w:val="single" w:sz="8" w:space="0" w:color="auto"/>
              <w:right w:val="nil"/>
            </w:tcBorders>
            <w:shd w:val="clear" w:color="auto" w:fill="auto"/>
            <w:noWrap/>
            <w:vAlign w:val="center"/>
            <w:hideMark/>
          </w:tcPr>
          <w:p w14:paraId="3B110187"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90,0</w:t>
            </w:r>
          </w:p>
        </w:tc>
        <w:tc>
          <w:tcPr>
            <w:tcW w:w="1120" w:type="dxa"/>
            <w:tcBorders>
              <w:top w:val="single" w:sz="4" w:space="0" w:color="auto"/>
              <w:left w:val="nil"/>
              <w:bottom w:val="single" w:sz="8" w:space="0" w:color="auto"/>
              <w:right w:val="nil"/>
            </w:tcBorders>
            <w:shd w:val="clear" w:color="auto" w:fill="auto"/>
            <w:noWrap/>
            <w:vAlign w:val="center"/>
            <w:hideMark/>
          </w:tcPr>
          <w:p w14:paraId="16747C99"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56 %</w:t>
            </w:r>
          </w:p>
        </w:tc>
      </w:tr>
    </w:tbl>
    <w:p w14:paraId="7A12B892" w14:textId="77777777" w:rsidR="006814A0" w:rsidRPr="00CD71E6" w:rsidRDefault="006814A0" w:rsidP="007D4FDA">
      <w:pPr>
        <w:rPr>
          <w:lang w:val="fr-CA"/>
        </w:rPr>
      </w:pPr>
    </w:p>
    <w:p w14:paraId="1504D97D" w14:textId="344261A2" w:rsidR="0093656E" w:rsidRPr="00CD71E6" w:rsidRDefault="0093656E" w:rsidP="0093656E">
      <w:pPr>
        <w:pStyle w:val="Heading3"/>
        <w:rPr>
          <w:lang w:val="fr-CA"/>
        </w:rPr>
      </w:pPr>
      <w:bookmarkStart w:id="42" w:name="_Toc41053701"/>
      <w:r w:rsidRPr="00CD71E6">
        <w:rPr>
          <w:bCs/>
          <w:lang w:val="fr-CA"/>
        </w:rPr>
        <w:lastRenderedPageBreak/>
        <w:t>Au 31 mars 2013</w:t>
      </w:r>
      <w:bookmarkEnd w:id="42"/>
    </w:p>
    <w:tbl>
      <w:tblPr>
        <w:tblW w:w="9600" w:type="dxa"/>
        <w:tblInd w:w="93" w:type="dxa"/>
        <w:tblLook w:val="04A0" w:firstRow="1" w:lastRow="0" w:firstColumn="1" w:lastColumn="0" w:noHBand="0" w:noVBand="1"/>
      </w:tblPr>
      <w:tblGrid>
        <w:gridCol w:w="1440"/>
        <w:gridCol w:w="1440"/>
        <w:gridCol w:w="1120"/>
        <w:gridCol w:w="1120"/>
        <w:gridCol w:w="1120"/>
        <w:gridCol w:w="1120"/>
        <w:gridCol w:w="1147"/>
        <w:gridCol w:w="1416"/>
      </w:tblGrid>
      <w:tr w:rsidR="00447426" w:rsidRPr="00CD71E6" w14:paraId="339DF3E2" w14:textId="77777777" w:rsidTr="00447426">
        <w:trPr>
          <w:trHeight w:val="300"/>
        </w:trPr>
        <w:tc>
          <w:tcPr>
            <w:tcW w:w="1440" w:type="dxa"/>
            <w:tcBorders>
              <w:top w:val="nil"/>
              <w:left w:val="nil"/>
              <w:bottom w:val="nil"/>
              <w:right w:val="nil"/>
            </w:tcBorders>
            <w:shd w:val="clear" w:color="auto" w:fill="auto"/>
            <w:noWrap/>
            <w:vAlign w:val="bottom"/>
            <w:hideMark/>
          </w:tcPr>
          <w:p w14:paraId="7CFB4FC5"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50303CAA"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4480" w:type="dxa"/>
            <w:gridSpan w:val="4"/>
            <w:tcBorders>
              <w:top w:val="nil"/>
              <w:left w:val="nil"/>
              <w:bottom w:val="nil"/>
              <w:right w:val="nil"/>
            </w:tcBorders>
            <w:shd w:val="clear" w:color="000000" w:fill="000000"/>
            <w:noWrap/>
            <w:vAlign w:val="center"/>
            <w:hideMark/>
          </w:tcPr>
          <w:p w14:paraId="65942896" w14:textId="77777777" w:rsidR="00447426" w:rsidRPr="00CD71E6" w:rsidRDefault="00447426" w:rsidP="00447426">
            <w:pPr>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Nombre total de postes</w:t>
            </w:r>
          </w:p>
        </w:tc>
        <w:tc>
          <w:tcPr>
            <w:tcW w:w="2240" w:type="dxa"/>
            <w:gridSpan w:val="2"/>
            <w:tcBorders>
              <w:top w:val="nil"/>
              <w:left w:val="nil"/>
              <w:bottom w:val="nil"/>
              <w:right w:val="nil"/>
            </w:tcBorders>
            <w:shd w:val="clear" w:color="000000" w:fill="000000"/>
            <w:noWrap/>
            <w:vAlign w:val="center"/>
            <w:hideMark/>
          </w:tcPr>
          <w:p w14:paraId="7FE5F2BB" w14:textId="3EFB8F6C" w:rsidR="00447426" w:rsidRPr="00CD71E6" w:rsidRDefault="004B4DDA" w:rsidP="00447426">
            <w:pPr>
              <w:spacing w:after="0" w:line="240" w:lineRule="auto"/>
              <w:jc w:val="center"/>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Inuits</w:t>
            </w:r>
          </w:p>
        </w:tc>
      </w:tr>
      <w:tr w:rsidR="00447426" w:rsidRPr="00CD71E6" w14:paraId="7C299A89" w14:textId="77777777" w:rsidTr="00447426">
        <w:trPr>
          <w:trHeight w:val="300"/>
        </w:trPr>
        <w:tc>
          <w:tcPr>
            <w:tcW w:w="1440" w:type="dxa"/>
            <w:tcBorders>
              <w:top w:val="nil"/>
              <w:left w:val="nil"/>
              <w:bottom w:val="nil"/>
              <w:right w:val="nil"/>
            </w:tcBorders>
            <w:shd w:val="clear" w:color="auto" w:fill="auto"/>
            <w:noWrap/>
            <w:vAlign w:val="bottom"/>
            <w:hideMark/>
          </w:tcPr>
          <w:p w14:paraId="4DA1F9FF"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5A007DC2"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1120" w:type="dxa"/>
            <w:vMerge w:val="restart"/>
            <w:tcBorders>
              <w:top w:val="nil"/>
              <w:left w:val="nil"/>
              <w:bottom w:val="nil"/>
              <w:right w:val="nil"/>
            </w:tcBorders>
            <w:shd w:val="clear" w:color="000000" w:fill="000000"/>
            <w:vAlign w:val="bottom"/>
            <w:hideMark/>
          </w:tcPr>
          <w:p w14:paraId="5FE55850"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Nombre total de postes</w:t>
            </w:r>
          </w:p>
        </w:tc>
        <w:tc>
          <w:tcPr>
            <w:tcW w:w="1120" w:type="dxa"/>
            <w:vMerge w:val="restart"/>
            <w:tcBorders>
              <w:top w:val="nil"/>
              <w:left w:val="nil"/>
              <w:bottom w:val="nil"/>
              <w:right w:val="nil"/>
            </w:tcBorders>
            <w:shd w:val="clear" w:color="000000" w:fill="000000"/>
            <w:vAlign w:val="bottom"/>
            <w:hideMark/>
          </w:tcPr>
          <w:p w14:paraId="7C79D0EC"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vacants</w:t>
            </w:r>
          </w:p>
        </w:tc>
        <w:tc>
          <w:tcPr>
            <w:tcW w:w="1120" w:type="dxa"/>
            <w:vMerge w:val="restart"/>
            <w:tcBorders>
              <w:top w:val="nil"/>
              <w:left w:val="nil"/>
              <w:bottom w:val="single" w:sz="8" w:space="0" w:color="000000"/>
              <w:right w:val="nil"/>
            </w:tcBorders>
            <w:shd w:val="clear" w:color="000000" w:fill="000000"/>
            <w:vAlign w:val="bottom"/>
            <w:hideMark/>
          </w:tcPr>
          <w:p w14:paraId="6850E219"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Postes pourvus</w:t>
            </w:r>
          </w:p>
        </w:tc>
        <w:tc>
          <w:tcPr>
            <w:tcW w:w="1120" w:type="dxa"/>
            <w:vMerge w:val="restart"/>
            <w:tcBorders>
              <w:top w:val="nil"/>
              <w:left w:val="nil"/>
              <w:bottom w:val="single" w:sz="8" w:space="0" w:color="000000"/>
              <w:right w:val="nil"/>
            </w:tcBorders>
            <w:shd w:val="clear" w:color="000000" w:fill="000000"/>
            <w:vAlign w:val="bottom"/>
            <w:hideMark/>
          </w:tcPr>
          <w:p w14:paraId="01FEB65F"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de la capacité</w:t>
            </w:r>
          </w:p>
        </w:tc>
        <w:tc>
          <w:tcPr>
            <w:tcW w:w="1120" w:type="dxa"/>
            <w:tcBorders>
              <w:top w:val="nil"/>
              <w:left w:val="nil"/>
              <w:bottom w:val="nil"/>
              <w:right w:val="nil"/>
            </w:tcBorders>
            <w:shd w:val="clear" w:color="000000" w:fill="000000"/>
            <w:vAlign w:val="center"/>
            <w:hideMark/>
          </w:tcPr>
          <w:p w14:paraId="23A71376"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c>
          <w:tcPr>
            <w:tcW w:w="1120" w:type="dxa"/>
            <w:tcBorders>
              <w:top w:val="nil"/>
              <w:left w:val="nil"/>
              <w:bottom w:val="nil"/>
              <w:right w:val="nil"/>
            </w:tcBorders>
            <w:shd w:val="clear" w:color="000000" w:fill="000000"/>
            <w:vAlign w:val="center"/>
            <w:hideMark/>
          </w:tcPr>
          <w:p w14:paraId="5BA24B24" w14:textId="77777777" w:rsidR="00447426" w:rsidRPr="00CD71E6" w:rsidRDefault="00447426" w:rsidP="00447426">
            <w:pPr>
              <w:spacing w:after="0" w:line="240" w:lineRule="auto"/>
              <w:rPr>
                <w:rFonts w:eastAsia="Times New Roman"/>
                <w:color w:val="FFFFFF"/>
                <w:kern w:val="0"/>
                <w:sz w:val="20"/>
                <w:lang w:val="fr-CA"/>
                <w14:ligatures w14:val="none"/>
              </w:rPr>
            </w:pPr>
            <w:r w:rsidRPr="00CD71E6">
              <w:rPr>
                <w:rFonts w:eastAsia="Times New Roman"/>
                <w:color w:val="FFFFFF"/>
                <w:kern w:val="0"/>
                <w:sz w:val="20"/>
                <w:lang w:val="fr-CA"/>
                <w14:ligatures w14:val="none"/>
              </w:rPr>
              <w:t> </w:t>
            </w:r>
          </w:p>
        </w:tc>
      </w:tr>
      <w:tr w:rsidR="00447426" w:rsidRPr="004373E7" w14:paraId="1F78761B" w14:textId="77777777" w:rsidTr="00B01B52">
        <w:trPr>
          <w:trHeight w:val="315"/>
        </w:trPr>
        <w:tc>
          <w:tcPr>
            <w:tcW w:w="1440" w:type="dxa"/>
            <w:tcBorders>
              <w:top w:val="nil"/>
              <w:left w:val="nil"/>
              <w:bottom w:val="nil"/>
              <w:right w:val="nil"/>
            </w:tcBorders>
            <w:shd w:val="clear" w:color="auto" w:fill="auto"/>
            <w:noWrap/>
            <w:vAlign w:val="bottom"/>
            <w:hideMark/>
          </w:tcPr>
          <w:p w14:paraId="631A80A3"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1440" w:type="dxa"/>
            <w:tcBorders>
              <w:top w:val="nil"/>
              <w:left w:val="nil"/>
              <w:bottom w:val="nil"/>
              <w:right w:val="nil"/>
            </w:tcBorders>
            <w:shd w:val="clear" w:color="auto" w:fill="auto"/>
            <w:noWrap/>
            <w:vAlign w:val="bottom"/>
            <w:hideMark/>
          </w:tcPr>
          <w:p w14:paraId="0AC5EB9F" w14:textId="77777777" w:rsidR="00447426" w:rsidRPr="00CD71E6" w:rsidRDefault="00447426" w:rsidP="00447426">
            <w:pPr>
              <w:spacing w:after="0" w:line="240" w:lineRule="auto"/>
              <w:rPr>
                <w:rFonts w:eastAsia="Times New Roman"/>
                <w:color w:val="000000"/>
                <w:kern w:val="0"/>
                <w:sz w:val="20"/>
                <w:lang w:val="fr-CA"/>
                <w14:ligatures w14:val="none"/>
              </w:rPr>
            </w:pPr>
          </w:p>
        </w:tc>
        <w:tc>
          <w:tcPr>
            <w:tcW w:w="1120" w:type="dxa"/>
            <w:vMerge/>
            <w:tcBorders>
              <w:top w:val="nil"/>
              <w:left w:val="nil"/>
              <w:bottom w:val="nil"/>
              <w:right w:val="nil"/>
            </w:tcBorders>
            <w:vAlign w:val="center"/>
            <w:hideMark/>
          </w:tcPr>
          <w:p w14:paraId="65ECF6A5" w14:textId="77777777" w:rsidR="00447426" w:rsidRPr="00CD71E6" w:rsidRDefault="00447426" w:rsidP="00447426">
            <w:pPr>
              <w:spacing w:after="0" w:line="240" w:lineRule="auto"/>
              <w:rPr>
                <w:rFonts w:eastAsia="Times New Roman"/>
                <w:color w:val="FFFFFF"/>
                <w:kern w:val="0"/>
                <w:sz w:val="20"/>
                <w:lang w:val="fr-CA"/>
                <w14:ligatures w14:val="none"/>
              </w:rPr>
            </w:pPr>
          </w:p>
        </w:tc>
        <w:tc>
          <w:tcPr>
            <w:tcW w:w="1120" w:type="dxa"/>
            <w:vMerge/>
            <w:tcBorders>
              <w:top w:val="nil"/>
              <w:left w:val="nil"/>
              <w:bottom w:val="nil"/>
              <w:right w:val="nil"/>
            </w:tcBorders>
            <w:vAlign w:val="center"/>
            <w:hideMark/>
          </w:tcPr>
          <w:p w14:paraId="4EBF0782" w14:textId="77777777" w:rsidR="00447426" w:rsidRPr="00CD71E6" w:rsidRDefault="00447426" w:rsidP="00447426">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118FF1D4" w14:textId="77777777" w:rsidR="00447426" w:rsidRPr="00CD71E6" w:rsidRDefault="00447426" w:rsidP="00447426">
            <w:pPr>
              <w:spacing w:after="0" w:line="240" w:lineRule="auto"/>
              <w:rPr>
                <w:rFonts w:eastAsia="Times New Roman"/>
                <w:color w:val="FFFFFF"/>
                <w:kern w:val="0"/>
                <w:sz w:val="20"/>
                <w:lang w:val="fr-CA"/>
                <w14:ligatures w14:val="none"/>
              </w:rPr>
            </w:pPr>
          </w:p>
        </w:tc>
        <w:tc>
          <w:tcPr>
            <w:tcW w:w="1120" w:type="dxa"/>
            <w:vMerge/>
            <w:tcBorders>
              <w:top w:val="nil"/>
              <w:left w:val="nil"/>
              <w:bottom w:val="single" w:sz="8" w:space="0" w:color="000000"/>
              <w:right w:val="nil"/>
            </w:tcBorders>
            <w:vAlign w:val="center"/>
            <w:hideMark/>
          </w:tcPr>
          <w:p w14:paraId="5A3CFF32" w14:textId="77777777" w:rsidR="00447426" w:rsidRPr="00CD71E6" w:rsidRDefault="00447426" w:rsidP="00447426">
            <w:pPr>
              <w:spacing w:after="0" w:line="240" w:lineRule="auto"/>
              <w:rPr>
                <w:rFonts w:eastAsia="Times New Roman"/>
                <w:color w:val="FFFFFF"/>
                <w:kern w:val="0"/>
                <w:sz w:val="20"/>
                <w:lang w:val="fr-CA"/>
                <w14:ligatures w14:val="none"/>
              </w:rPr>
            </w:pPr>
          </w:p>
        </w:tc>
        <w:tc>
          <w:tcPr>
            <w:tcW w:w="1120" w:type="dxa"/>
            <w:tcBorders>
              <w:top w:val="nil"/>
              <w:left w:val="nil"/>
              <w:bottom w:val="nil"/>
              <w:right w:val="nil"/>
            </w:tcBorders>
            <w:shd w:val="clear" w:color="000000" w:fill="000000"/>
            <w:vAlign w:val="bottom"/>
            <w:hideMark/>
          </w:tcPr>
          <w:p w14:paraId="71170F4E" w14:textId="77777777" w:rsidR="00447426" w:rsidRPr="00CD71E6" w:rsidRDefault="00447426" w:rsidP="000B2E62">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Embauchés</w:t>
            </w:r>
          </w:p>
        </w:tc>
        <w:tc>
          <w:tcPr>
            <w:tcW w:w="1120" w:type="dxa"/>
            <w:tcBorders>
              <w:top w:val="nil"/>
              <w:left w:val="nil"/>
              <w:bottom w:val="single" w:sz="8" w:space="0" w:color="auto"/>
              <w:right w:val="nil"/>
            </w:tcBorders>
            <w:shd w:val="clear" w:color="000000" w:fill="000000"/>
            <w:vAlign w:val="center"/>
            <w:hideMark/>
          </w:tcPr>
          <w:p w14:paraId="1CB323FE" w14:textId="77777777" w:rsidR="00447426" w:rsidRPr="00CD71E6" w:rsidRDefault="00447426" w:rsidP="00447426">
            <w:pPr>
              <w:spacing w:after="0" w:line="240" w:lineRule="auto"/>
              <w:jc w:val="center"/>
              <w:rPr>
                <w:rFonts w:eastAsia="Times New Roman"/>
                <w:color w:val="FFFFFF"/>
                <w:kern w:val="0"/>
                <w:sz w:val="20"/>
                <w:lang w:val="fr-CA"/>
                <w14:ligatures w14:val="none"/>
              </w:rPr>
            </w:pPr>
            <w:r w:rsidRPr="00CD71E6">
              <w:rPr>
                <w:rFonts w:eastAsia="Times New Roman"/>
                <w:color w:val="FFFFFF"/>
                <w:kern w:val="0"/>
                <w:sz w:val="20"/>
                <w:lang w:val="fr-CA"/>
                <w14:ligatures w14:val="none"/>
              </w:rPr>
              <w:t>% du plan d’embauchage des Inuits</w:t>
            </w:r>
          </w:p>
        </w:tc>
      </w:tr>
      <w:tr w:rsidR="00447426" w:rsidRPr="00CD71E6" w14:paraId="2F08929E"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6B57B170"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direction</w:t>
            </w:r>
          </w:p>
        </w:tc>
        <w:tc>
          <w:tcPr>
            <w:tcW w:w="1120" w:type="dxa"/>
            <w:tcBorders>
              <w:top w:val="single" w:sz="8" w:space="0" w:color="auto"/>
              <w:left w:val="nil"/>
              <w:bottom w:val="nil"/>
              <w:right w:val="nil"/>
            </w:tcBorders>
            <w:shd w:val="clear" w:color="auto" w:fill="auto"/>
            <w:noWrap/>
            <w:vAlign w:val="center"/>
            <w:hideMark/>
          </w:tcPr>
          <w:p w14:paraId="1E3F0868"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w:t>
            </w:r>
          </w:p>
        </w:tc>
        <w:tc>
          <w:tcPr>
            <w:tcW w:w="1120" w:type="dxa"/>
            <w:tcBorders>
              <w:top w:val="single" w:sz="8" w:space="0" w:color="auto"/>
              <w:left w:val="nil"/>
              <w:bottom w:val="nil"/>
              <w:right w:val="nil"/>
            </w:tcBorders>
            <w:shd w:val="clear" w:color="auto" w:fill="auto"/>
            <w:noWrap/>
            <w:vAlign w:val="center"/>
            <w:hideMark/>
          </w:tcPr>
          <w:p w14:paraId="733234DA"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0,0</w:t>
            </w:r>
          </w:p>
        </w:tc>
        <w:tc>
          <w:tcPr>
            <w:tcW w:w="1120" w:type="dxa"/>
            <w:tcBorders>
              <w:top w:val="nil"/>
              <w:left w:val="nil"/>
              <w:bottom w:val="nil"/>
              <w:right w:val="nil"/>
            </w:tcBorders>
            <w:shd w:val="clear" w:color="auto" w:fill="auto"/>
            <w:noWrap/>
            <w:vAlign w:val="center"/>
            <w:hideMark/>
          </w:tcPr>
          <w:p w14:paraId="68227C70"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w:t>
            </w:r>
          </w:p>
        </w:tc>
        <w:tc>
          <w:tcPr>
            <w:tcW w:w="1120" w:type="dxa"/>
            <w:tcBorders>
              <w:top w:val="nil"/>
              <w:left w:val="nil"/>
              <w:bottom w:val="nil"/>
              <w:right w:val="nil"/>
            </w:tcBorders>
            <w:shd w:val="clear" w:color="auto" w:fill="auto"/>
            <w:noWrap/>
            <w:vAlign w:val="center"/>
            <w:hideMark/>
          </w:tcPr>
          <w:p w14:paraId="0E0CCE73"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c>
          <w:tcPr>
            <w:tcW w:w="1120" w:type="dxa"/>
            <w:tcBorders>
              <w:top w:val="single" w:sz="8" w:space="0" w:color="auto"/>
              <w:left w:val="nil"/>
              <w:bottom w:val="nil"/>
              <w:right w:val="nil"/>
            </w:tcBorders>
            <w:shd w:val="clear" w:color="auto" w:fill="auto"/>
            <w:noWrap/>
            <w:vAlign w:val="center"/>
            <w:hideMark/>
          </w:tcPr>
          <w:p w14:paraId="1C58CBA0"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0,0</w:t>
            </w:r>
          </w:p>
        </w:tc>
        <w:tc>
          <w:tcPr>
            <w:tcW w:w="1120" w:type="dxa"/>
            <w:tcBorders>
              <w:top w:val="nil"/>
              <w:left w:val="nil"/>
              <w:bottom w:val="nil"/>
              <w:right w:val="nil"/>
            </w:tcBorders>
            <w:shd w:val="clear" w:color="auto" w:fill="auto"/>
            <w:noWrap/>
            <w:vAlign w:val="center"/>
            <w:hideMark/>
          </w:tcPr>
          <w:p w14:paraId="1588754C"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0 %</w:t>
            </w:r>
          </w:p>
        </w:tc>
      </w:tr>
      <w:tr w:rsidR="00447426" w:rsidRPr="00CD71E6" w14:paraId="59ED7304"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76ED7F1A"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supérieurs</w:t>
            </w:r>
          </w:p>
        </w:tc>
        <w:tc>
          <w:tcPr>
            <w:tcW w:w="1120" w:type="dxa"/>
            <w:tcBorders>
              <w:top w:val="nil"/>
              <w:left w:val="nil"/>
              <w:bottom w:val="nil"/>
              <w:right w:val="nil"/>
            </w:tcBorders>
            <w:shd w:val="clear" w:color="auto" w:fill="auto"/>
            <w:noWrap/>
            <w:vAlign w:val="center"/>
            <w:hideMark/>
          </w:tcPr>
          <w:p w14:paraId="10320222"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8,0</w:t>
            </w:r>
          </w:p>
        </w:tc>
        <w:tc>
          <w:tcPr>
            <w:tcW w:w="1120" w:type="dxa"/>
            <w:tcBorders>
              <w:top w:val="nil"/>
              <w:left w:val="nil"/>
              <w:bottom w:val="nil"/>
              <w:right w:val="nil"/>
            </w:tcBorders>
            <w:shd w:val="clear" w:color="auto" w:fill="auto"/>
            <w:noWrap/>
            <w:vAlign w:val="center"/>
            <w:hideMark/>
          </w:tcPr>
          <w:p w14:paraId="6988853A"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nil"/>
              <w:left w:val="nil"/>
              <w:bottom w:val="nil"/>
              <w:right w:val="nil"/>
            </w:tcBorders>
            <w:shd w:val="clear" w:color="auto" w:fill="auto"/>
            <w:noWrap/>
            <w:vAlign w:val="center"/>
            <w:hideMark/>
          </w:tcPr>
          <w:p w14:paraId="356BE8B9"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6,0</w:t>
            </w:r>
          </w:p>
        </w:tc>
        <w:tc>
          <w:tcPr>
            <w:tcW w:w="1120" w:type="dxa"/>
            <w:tcBorders>
              <w:top w:val="nil"/>
              <w:left w:val="nil"/>
              <w:bottom w:val="nil"/>
              <w:right w:val="nil"/>
            </w:tcBorders>
            <w:shd w:val="clear" w:color="auto" w:fill="auto"/>
            <w:noWrap/>
            <w:vAlign w:val="center"/>
            <w:hideMark/>
          </w:tcPr>
          <w:p w14:paraId="07CBD535"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75 %</w:t>
            </w:r>
          </w:p>
        </w:tc>
        <w:tc>
          <w:tcPr>
            <w:tcW w:w="1120" w:type="dxa"/>
            <w:tcBorders>
              <w:top w:val="nil"/>
              <w:left w:val="nil"/>
              <w:bottom w:val="nil"/>
              <w:right w:val="nil"/>
            </w:tcBorders>
            <w:shd w:val="clear" w:color="auto" w:fill="auto"/>
            <w:noWrap/>
            <w:vAlign w:val="center"/>
            <w:hideMark/>
          </w:tcPr>
          <w:p w14:paraId="31BEF71F"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3,0</w:t>
            </w:r>
          </w:p>
        </w:tc>
        <w:tc>
          <w:tcPr>
            <w:tcW w:w="1120" w:type="dxa"/>
            <w:tcBorders>
              <w:top w:val="nil"/>
              <w:left w:val="nil"/>
              <w:bottom w:val="nil"/>
              <w:right w:val="nil"/>
            </w:tcBorders>
            <w:shd w:val="clear" w:color="auto" w:fill="auto"/>
            <w:noWrap/>
            <w:vAlign w:val="center"/>
            <w:hideMark/>
          </w:tcPr>
          <w:p w14:paraId="061B21D4"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50 %</w:t>
            </w:r>
          </w:p>
        </w:tc>
      </w:tr>
      <w:tr w:rsidR="00447426" w:rsidRPr="00CD71E6" w14:paraId="3C9EC33B"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056258B8"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intermédiaires</w:t>
            </w:r>
          </w:p>
        </w:tc>
        <w:tc>
          <w:tcPr>
            <w:tcW w:w="1120" w:type="dxa"/>
            <w:tcBorders>
              <w:top w:val="nil"/>
              <w:left w:val="nil"/>
              <w:bottom w:val="nil"/>
              <w:right w:val="nil"/>
            </w:tcBorders>
            <w:shd w:val="clear" w:color="auto" w:fill="auto"/>
            <w:noWrap/>
            <w:vAlign w:val="center"/>
            <w:hideMark/>
          </w:tcPr>
          <w:p w14:paraId="28F22C6A"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24,0</w:t>
            </w:r>
          </w:p>
        </w:tc>
        <w:tc>
          <w:tcPr>
            <w:tcW w:w="1120" w:type="dxa"/>
            <w:tcBorders>
              <w:top w:val="nil"/>
              <w:left w:val="nil"/>
              <w:bottom w:val="nil"/>
              <w:right w:val="nil"/>
            </w:tcBorders>
            <w:shd w:val="clear" w:color="auto" w:fill="auto"/>
            <w:noWrap/>
            <w:vAlign w:val="center"/>
            <w:hideMark/>
          </w:tcPr>
          <w:p w14:paraId="6D9EA05E"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w:t>
            </w:r>
          </w:p>
        </w:tc>
        <w:tc>
          <w:tcPr>
            <w:tcW w:w="1120" w:type="dxa"/>
            <w:tcBorders>
              <w:top w:val="nil"/>
              <w:left w:val="nil"/>
              <w:bottom w:val="nil"/>
              <w:right w:val="nil"/>
            </w:tcBorders>
            <w:shd w:val="clear" w:color="auto" w:fill="auto"/>
            <w:noWrap/>
            <w:vAlign w:val="center"/>
            <w:hideMark/>
          </w:tcPr>
          <w:p w14:paraId="797B2963"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22,0</w:t>
            </w:r>
          </w:p>
        </w:tc>
        <w:tc>
          <w:tcPr>
            <w:tcW w:w="1120" w:type="dxa"/>
            <w:tcBorders>
              <w:top w:val="nil"/>
              <w:left w:val="nil"/>
              <w:bottom w:val="nil"/>
              <w:right w:val="nil"/>
            </w:tcBorders>
            <w:shd w:val="clear" w:color="auto" w:fill="auto"/>
            <w:noWrap/>
            <w:vAlign w:val="center"/>
            <w:hideMark/>
          </w:tcPr>
          <w:p w14:paraId="04EFA2BF"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92 %</w:t>
            </w:r>
          </w:p>
        </w:tc>
        <w:tc>
          <w:tcPr>
            <w:tcW w:w="1120" w:type="dxa"/>
            <w:tcBorders>
              <w:top w:val="nil"/>
              <w:left w:val="nil"/>
              <w:bottom w:val="nil"/>
              <w:right w:val="nil"/>
            </w:tcBorders>
            <w:shd w:val="clear" w:color="auto" w:fill="auto"/>
            <w:noWrap/>
            <w:vAlign w:val="center"/>
            <w:hideMark/>
          </w:tcPr>
          <w:p w14:paraId="78431C86"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8,0</w:t>
            </w:r>
          </w:p>
        </w:tc>
        <w:tc>
          <w:tcPr>
            <w:tcW w:w="1120" w:type="dxa"/>
            <w:tcBorders>
              <w:top w:val="nil"/>
              <w:left w:val="nil"/>
              <w:bottom w:val="nil"/>
              <w:right w:val="nil"/>
            </w:tcBorders>
            <w:shd w:val="clear" w:color="auto" w:fill="auto"/>
            <w:noWrap/>
            <w:vAlign w:val="center"/>
            <w:hideMark/>
          </w:tcPr>
          <w:p w14:paraId="41AA4826"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36 %</w:t>
            </w:r>
          </w:p>
        </w:tc>
      </w:tr>
      <w:tr w:rsidR="00447426" w:rsidRPr="00CD71E6" w14:paraId="3390FD59"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31B477B7"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professionnels</w:t>
            </w:r>
          </w:p>
        </w:tc>
        <w:tc>
          <w:tcPr>
            <w:tcW w:w="1120" w:type="dxa"/>
            <w:tcBorders>
              <w:top w:val="nil"/>
              <w:left w:val="nil"/>
              <w:bottom w:val="nil"/>
              <w:right w:val="nil"/>
            </w:tcBorders>
            <w:shd w:val="clear" w:color="auto" w:fill="auto"/>
            <w:noWrap/>
            <w:vAlign w:val="center"/>
            <w:hideMark/>
          </w:tcPr>
          <w:p w14:paraId="736173AE"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95,0</w:t>
            </w:r>
          </w:p>
        </w:tc>
        <w:tc>
          <w:tcPr>
            <w:tcW w:w="1120" w:type="dxa"/>
            <w:tcBorders>
              <w:top w:val="nil"/>
              <w:left w:val="nil"/>
              <w:bottom w:val="nil"/>
              <w:right w:val="nil"/>
            </w:tcBorders>
            <w:shd w:val="clear" w:color="auto" w:fill="auto"/>
            <w:noWrap/>
            <w:vAlign w:val="center"/>
            <w:hideMark/>
          </w:tcPr>
          <w:p w14:paraId="7C9FCFFF"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16,0</w:t>
            </w:r>
          </w:p>
        </w:tc>
        <w:tc>
          <w:tcPr>
            <w:tcW w:w="1120" w:type="dxa"/>
            <w:tcBorders>
              <w:top w:val="nil"/>
              <w:left w:val="nil"/>
              <w:bottom w:val="nil"/>
              <w:right w:val="nil"/>
            </w:tcBorders>
            <w:shd w:val="clear" w:color="auto" w:fill="auto"/>
            <w:noWrap/>
            <w:vAlign w:val="center"/>
            <w:hideMark/>
          </w:tcPr>
          <w:p w14:paraId="19FB5829"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79,0</w:t>
            </w:r>
          </w:p>
        </w:tc>
        <w:tc>
          <w:tcPr>
            <w:tcW w:w="1120" w:type="dxa"/>
            <w:tcBorders>
              <w:top w:val="nil"/>
              <w:left w:val="nil"/>
              <w:bottom w:val="nil"/>
              <w:right w:val="nil"/>
            </w:tcBorders>
            <w:shd w:val="clear" w:color="auto" w:fill="auto"/>
            <w:noWrap/>
            <w:vAlign w:val="center"/>
            <w:hideMark/>
          </w:tcPr>
          <w:p w14:paraId="5A71CD5F"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83 %</w:t>
            </w:r>
          </w:p>
        </w:tc>
        <w:tc>
          <w:tcPr>
            <w:tcW w:w="1120" w:type="dxa"/>
            <w:tcBorders>
              <w:top w:val="nil"/>
              <w:left w:val="nil"/>
              <w:bottom w:val="nil"/>
              <w:right w:val="nil"/>
            </w:tcBorders>
            <w:shd w:val="clear" w:color="auto" w:fill="auto"/>
            <w:noWrap/>
            <w:vAlign w:val="center"/>
            <w:hideMark/>
          </w:tcPr>
          <w:p w14:paraId="5AE0A35B"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38,0</w:t>
            </w:r>
          </w:p>
        </w:tc>
        <w:tc>
          <w:tcPr>
            <w:tcW w:w="1120" w:type="dxa"/>
            <w:tcBorders>
              <w:top w:val="nil"/>
              <w:left w:val="nil"/>
              <w:bottom w:val="nil"/>
              <w:right w:val="nil"/>
            </w:tcBorders>
            <w:shd w:val="clear" w:color="auto" w:fill="auto"/>
            <w:noWrap/>
            <w:vAlign w:val="center"/>
            <w:hideMark/>
          </w:tcPr>
          <w:p w14:paraId="76E7BED6"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48 %</w:t>
            </w:r>
          </w:p>
        </w:tc>
      </w:tr>
      <w:tr w:rsidR="00447426" w:rsidRPr="00CD71E6" w14:paraId="20CE5965"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5C53FE7F"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paraprofessionnels</w:t>
            </w:r>
          </w:p>
        </w:tc>
        <w:tc>
          <w:tcPr>
            <w:tcW w:w="1120" w:type="dxa"/>
            <w:tcBorders>
              <w:top w:val="nil"/>
              <w:left w:val="nil"/>
              <w:bottom w:val="nil"/>
              <w:right w:val="nil"/>
            </w:tcBorders>
            <w:shd w:val="clear" w:color="auto" w:fill="auto"/>
            <w:noWrap/>
            <w:vAlign w:val="center"/>
            <w:hideMark/>
          </w:tcPr>
          <w:p w14:paraId="1D572CB3"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25,0</w:t>
            </w:r>
          </w:p>
        </w:tc>
        <w:tc>
          <w:tcPr>
            <w:tcW w:w="1120" w:type="dxa"/>
            <w:tcBorders>
              <w:top w:val="nil"/>
              <w:left w:val="nil"/>
              <w:bottom w:val="nil"/>
              <w:right w:val="nil"/>
            </w:tcBorders>
            <w:shd w:val="clear" w:color="auto" w:fill="auto"/>
            <w:noWrap/>
            <w:vAlign w:val="center"/>
            <w:hideMark/>
          </w:tcPr>
          <w:p w14:paraId="345A8B58"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6,0</w:t>
            </w:r>
          </w:p>
        </w:tc>
        <w:tc>
          <w:tcPr>
            <w:tcW w:w="1120" w:type="dxa"/>
            <w:tcBorders>
              <w:top w:val="nil"/>
              <w:left w:val="nil"/>
              <w:bottom w:val="nil"/>
              <w:right w:val="nil"/>
            </w:tcBorders>
            <w:shd w:val="clear" w:color="auto" w:fill="auto"/>
            <w:noWrap/>
            <w:vAlign w:val="center"/>
            <w:hideMark/>
          </w:tcPr>
          <w:p w14:paraId="10A09147"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19,0</w:t>
            </w:r>
          </w:p>
        </w:tc>
        <w:tc>
          <w:tcPr>
            <w:tcW w:w="1120" w:type="dxa"/>
            <w:tcBorders>
              <w:top w:val="nil"/>
              <w:left w:val="nil"/>
              <w:bottom w:val="nil"/>
              <w:right w:val="nil"/>
            </w:tcBorders>
            <w:shd w:val="clear" w:color="auto" w:fill="auto"/>
            <w:noWrap/>
            <w:vAlign w:val="center"/>
            <w:hideMark/>
          </w:tcPr>
          <w:p w14:paraId="7AF21041"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76 %</w:t>
            </w:r>
          </w:p>
        </w:tc>
        <w:tc>
          <w:tcPr>
            <w:tcW w:w="1120" w:type="dxa"/>
            <w:tcBorders>
              <w:top w:val="nil"/>
              <w:left w:val="nil"/>
              <w:bottom w:val="nil"/>
              <w:right w:val="nil"/>
            </w:tcBorders>
            <w:shd w:val="clear" w:color="auto" w:fill="auto"/>
            <w:noWrap/>
            <w:vAlign w:val="center"/>
            <w:hideMark/>
          </w:tcPr>
          <w:p w14:paraId="3366880C"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9,0</w:t>
            </w:r>
          </w:p>
        </w:tc>
        <w:tc>
          <w:tcPr>
            <w:tcW w:w="1120" w:type="dxa"/>
            <w:tcBorders>
              <w:top w:val="nil"/>
              <w:left w:val="nil"/>
              <w:bottom w:val="nil"/>
              <w:right w:val="nil"/>
            </w:tcBorders>
            <w:shd w:val="clear" w:color="auto" w:fill="auto"/>
            <w:noWrap/>
            <w:vAlign w:val="center"/>
            <w:hideMark/>
          </w:tcPr>
          <w:p w14:paraId="7F7E068D"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47 %</w:t>
            </w:r>
          </w:p>
        </w:tc>
      </w:tr>
      <w:tr w:rsidR="00447426" w:rsidRPr="00CD71E6" w14:paraId="1AF71317" w14:textId="77777777" w:rsidTr="007D4FDA">
        <w:trPr>
          <w:trHeight w:val="300"/>
        </w:trPr>
        <w:tc>
          <w:tcPr>
            <w:tcW w:w="2880" w:type="dxa"/>
            <w:gridSpan w:val="2"/>
            <w:tcBorders>
              <w:top w:val="nil"/>
              <w:left w:val="nil"/>
              <w:bottom w:val="nil"/>
              <w:right w:val="nil"/>
            </w:tcBorders>
            <w:shd w:val="clear" w:color="auto" w:fill="auto"/>
            <w:noWrap/>
            <w:vAlign w:val="center"/>
            <w:hideMark/>
          </w:tcPr>
          <w:p w14:paraId="27482912" w14:textId="77777777" w:rsidR="00447426" w:rsidRPr="00CD71E6" w:rsidRDefault="00447426" w:rsidP="007D4FDA">
            <w:pPr>
              <w:spacing w:after="0" w:line="240" w:lineRule="auto"/>
              <w:jc w:val="right"/>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du soutien administratif</w:t>
            </w:r>
          </w:p>
        </w:tc>
        <w:tc>
          <w:tcPr>
            <w:tcW w:w="1120" w:type="dxa"/>
            <w:tcBorders>
              <w:top w:val="nil"/>
              <w:left w:val="nil"/>
              <w:bottom w:val="nil"/>
              <w:right w:val="nil"/>
            </w:tcBorders>
            <w:shd w:val="clear" w:color="auto" w:fill="auto"/>
            <w:noWrap/>
            <w:vAlign w:val="center"/>
            <w:hideMark/>
          </w:tcPr>
          <w:p w14:paraId="165C65EB"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30,0</w:t>
            </w:r>
          </w:p>
        </w:tc>
        <w:tc>
          <w:tcPr>
            <w:tcW w:w="1120" w:type="dxa"/>
            <w:tcBorders>
              <w:top w:val="nil"/>
              <w:left w:val="nil"/>
              <w:bottom w:val="nil"/>
              <w:right w:val="nil"/>
            </w:tcBorders>
            <w:shd w:val="clear" w:color="auto" w:fill="auto"/>
            <w:noWrap/>
            <w:vAlign w:val="center"/>
            <w:hideMark/>
          </w:tcPr>
          <w:p w14:paraId="71BE9BB2"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6,0</w:t>
            </w:r>
          </w:p>
        </w:tc>
        <w:tc>
          <w:tcPr>
            <w:tcW w:w="1120" w:type="dxa"/>
            <w:tcBorders>
              <w:top w:val="nil"/>
              <w:left w:val="nil"/>
              <w:bottom w:val="nil"/>
              <w:right w:val="nil"/>
            </w:tcBorders>
            <w:shd w:val="clear" w:color="auto" w:fill="auto"/>
            <w:noWrap/>
            <w:vAlign w:val="center"/>
            <w:hideMark/>
          </w:tcPr>
          <w:p w14:paraId="3867E5C3"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24,0</w:t>
            </w:r>
          </w:p>
        </w:tc>
        <w:tc>
          <w:tcPr>
            <w:tcW w:w="1120" w:type="dxa"/>
            <w:tcBorders>
              <w:top w:val="nil"/>
              <w:left w:val="nil"/>
              <w:bottom w:val="nil"/>
              <w:right w:val="nil"/>
            </w:tcBorders>
            <w:shd w:val="clear" w:color="auto" w:fill="auto"/>
            <w:noWrap/>
            <w:vAlign w:val="center"/>
            <w:hideMark/>
          </w:tcPr>
          <w:p w14:paraId="04E64B7A"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80 %</w:t>
            </w:r>
          </w:p>
        </w:tc>
        <w:tc>
          <w:tcPr>
            <w:tcW w:w="1120" w:type="dxa"/>
            <w:tcBorders>
              <w:top w:val="nil"/>
              <w:left w:val="nil"/>
              <w:bottom w:val="nil"/>
              <w:right w:val="nil"/>
            </w:tcBorders>
            <w:shd w:val="clear" w:color="auto" w:fill="auto"/>
            <w:noWrap/>
            <w:vAlign w:val="center"/>
            <w:hideMark/>
          </w:tcPr>
          <w:p w14:paraId="11EA2E70"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24,0</w:t>
            </w:r>
          </w:p>
        </w:tc>
        <w:tc>
          <w:tcPr>
            <w:tcW w:w="1120" w:type="dxa"/>
            <w:tcBorders>
              <w:top w:val="nil"/>
              <w:left w:val="nil"/>
              <w:bottom w:val="nil"/>
              <w:right w:val="nil"/>
            </w:tcBorders>
            <w:shd w:val="clear" w:color="auto" w:fill="auto"/>
            <w:noWrap/>
            <w:vAlign w:val="center"/>
            <w:hideMark/>
          </w:tcPr>
          <w:p w14:paraId="60042B1E" w14:textId="77777777" w:rsidR="00447426" w:rsidRPr="00CD71E6" w:rsidRDefault="00447426" w:rsidP="00447426">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r>
      <w:tr w:rsidR="00447426" w:rsidRPr="00CD71E6" w14:paraId="07FF26CC" w14:textId="77777777" w:rsidTr="00447426">
        <w:trPr>
          <w:trHeight w:val="315"/>
        </w:trPr>
        <w:tc>
          <w:tcPr>
            <w:tcW w:w="2880" w:type="dxa"/>
            <w:gridSpan w:val="2"/>
            <w:tcBorders>
              <w:top w:val="single" w:sz="4" w:space="0" w:color="auto"/>
              <w:left w:val="nil"/>
              <w:bottom w:val="single" w:sz="8" w:space="0" w:color="auto"/>
              <w:right w:val="nil"/>
            </w:tcBorders>
            <w:shd w:val="clear" w:color="auto" w:fill="auto"/>
            <w:noWrap/>
            <w:vAlign w:val="center"/>
            <w:hideMark/>
          </w:tcPr>
          <w:p w14:paraId="13A41022" w14:textId="77777777" w:rsidR="00447426" w:rsidRPr="00CD71E6" w:rsidRDefault="00447426" w:rsidP="00447426">
            <w:pPr>
              <w:spacing w:after="0" w:line="240" w:lineRule="auto"/>
              <w:jc w:val="right"/>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Total des catégories d’emploi</w:t>
            </w:r>
          </w:p>
        </w:tc>
        <w:tc>
          <w:tcPr>
            <w:tcW w:w="1120" w:type="dxa"/>
            <w:tcBorders>
              <w:top w:val="single" w:sz="4" w:space="0" w:color="auto"/>
              <w:left w:val="nil"/>
              <w:bottom w:val="single" w:sz="8" w:space="0" w:color="auto"/>
              <w:right w:val="nil"/>
            </w:tcBorders>
            <w:shd w:val="clear" w:color="auto" w:fill="auto"/>
            <w:noWrap/>
            <w:vAlign w:val="center"/>
            <w:hideMark/>
          </w:tcPr>
          <w:p w14:paraId="180B935D"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183,0</w:t>
            </w:r>
          </w:p>
        </w:tc>
        <w:tc>
          <w:tcPr>
            <w:tcW w:w="1120" w:type="dxa"/>
            <w:tcBorders>
              <w:top w:val="single" w:sz="4" w:space="0" w:color="auto"/>
              <w:left w:val="nil"/>
              <w:bottom w:val="single" w:sz="8" w:space="0" w:color="auto"/>
              <w:right w:val="nil"/>
            </w:tcBorders>
            <w:shd w:val="clear" w:color="auto" w:fill="auto"/>
            <w:noWrap/>
            <w:vAlign w:val="center"/>
            <w:hideMark/>
          </w:tcPr>
          <w:p w14:paraId="0F21144E"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32,0</w:t>
            </w:r>
          </w:p>
        </w:tc>
        <w:tc>
          <w:tcPr>
            <w:tcW w:w="1120" w:type="dxa"/>
            <w:tcBorders>
              <w:top w:val="single" w:sz="4" w:space="0" w:color="auto"/>
              <w:left w:val="nil"/>
              <w:bottom w:val="single" w:sz="8" w:space="0" w:color="auto"/>
              <w:right w:val="nil"/>
            </w:tcBorders>
            <w:shd w:val="clear" w:color="auto" w:fill="auto"/>
            <w:noWrap/>
            <w:vAlign w:val="center"/>
            <w:hideMark/>
          </w:tcPr>
          <w:p w14:paraId="0314ACB0"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151,0</w:t>
            </w:r>
          </w:p>
        </w:tc>
        <w:tc>
          <w:tcPr>
            <w:tcW w:w="1120" w:type="dxa"/>
            <w:tcBorders>
              <w:top w:val="single" w:sz="4" w:space="0" w:color="auto"/>
              <w:left w:val="nil"/>
              <w:bottom w:val="single" w:sz="8" w:space="0" w:color="auto"/>
              <w:right w:val="nil"/>
            </w:tcBorders>
            <w:shd w:val="clear" w:color="auto" w:fill="auto"/>
            <w:noWrap/>
            <w:vAlign w:val="center"/>
            <w:hideMark/>
          </w:tcPr>
          <w:p w14:paraId="4B317FD4"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83 %</w:t>
            </w:r>
          </w:p>
        </w:tc>
        <w:tc>
          <w:tcPr>
            <w:tcW w:w="1120" w:type="dxa"/>
            <w:tcBorders>
              <w:top w:val="single" w:sz="4" w:space="0" w:color="auto"/>
              <w:left w:val="nil"/>
              <w:bottom w:val="single" w:sz="8" w:space="0" w:color="auto"/>
              <w:right w:val="nil"/>
            </w:tcBorders>
            <w:shd w:val="clear" w:color="auto" w:fill="auto"/>
            <w:noWrap/>
            <w:vAlign w:val="center"/>
            <w:hideMark/>
          </w:tcPr>
          <w:p w14:paraId="4501C215"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82,0</w:t>
            </w:r>
          </w:p>
        </w:tc>
        <w:tc>
          <w:tcPr>
            <w:tcW w:w="1120" w:type="dxa"/>
            <w:tcBorders>
              <w:top w:val="single" w:sz="4" w:space="0" w:color="auto"/>
              <w:left w:val="nil"/>
              <w:bottom w:val="single" w:sz="8" w:space="0" w:color="auto"/>
              <w:right w:val="nil"/>
            </w:tcBorders>
            <w:shd w:val="clear" w:color="auto" w:fill="auto"/>
            <w:noWrap/>
            <w:vAlign w:val="center"/>
            <w:hideMark/>
          </w:tcPr>
          <w:p w14:paraId="6F7F76D8" w14:textId="77777777" w:rsidR="00447426" w:rsidRPr="00CD71E6" w:rsidRDefault="00447426" w:rsidP="00447426">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54 %</w:t>
            </w:r>
          </w:p>
        </w:tc>
      </w:tr>
    </w:tbl>
    <w:p w14:paraId="6A48F7AF" w14:textId="77777777" w:rsidR="00447426" w:rsidRPr="00CD71E6" w:rsidRDefault="00447426" w:rsidP="00447426">
      <w:pPr>
        <w:rPr>
          <w:lang w:val="fr-CA"/>
        </w:rPr>
      </w:pPr>
    </w:p>
    <w:p w14:paraId="29500565" w14:textId="63BA0A13" w:rsidR="0093656E" w:rsidRPr="00CD71E6" w:rsidRDefault="0093656E" w:rsidP="003F226B">
      <w:pPr>
        <w:pStyle w:val="Heading2"/>
        <w:rPr>
          <w:lang w:val="fr-CA"/>
        </w:rPr>
      </w:pPr>
      <w:bookmarkStart w:id="43" w:name="_Toc505763740"/>
      <w:bookmarkStart w:id="44" w:name="_Toc41053702"/>
      <w:r w:rsidRPr="00CD71E6">
        <w:rPr>
          <w:bCs/>
          <w:lang w:val="fr-CA"/>
        </w:rPr>
        <w:t xml:space="preserve">Système de Classification nationale des professions </w:t>
      </w:r>
      <w:r w:rsidR="00DE5535">
        <w:rPr>
          <w:bCs/>
          <w:lang w:val="fr-CA"/>
        </w:rPr>
        <w:br/>
      </w:r>
      <w:r w:rsidRPr="00CD71E6">
        <w:rPr>
          <w:bCs/>
          <w:lang w:val="fr-CA"/>
        </w:rPr>
        <w:t xml:space="preserve">au sein du </w:t>
      </w:r>
      <w:bookmarkEnd w:id="43"/>
      <w:r w:rsidRPr="00CD71E6">
        <w:rPr>
          <w:bCs/>
          <w:lang w:val="fr-CA"/>
        </w:rPr>
        <w:t>CAN</w:t>
      </w:r>
      <w:bookmarkEnd w:id="44"/>
      <w:r w:rsidRPr="00CD71E6">
        <w:rPr>
          <w:bCs/>
          <w:lang w:val="fr-CA"/>
        </w:rPr>
        <w:t xml:space="preserve"> </w:t>
      </w:r>
    </w:p>
    <w:p w14:paraId="7DEBB480" w14:textId="3D37DE21" w:rsidR="0093656E" w:rsidRPr="00CD71E6" w:rsidRDefault="0093656E" w:rsidP="007D4FDA">
      <w:pPr>
        <w:autoSpaceDE w:val="0"/>
        <w:autoSpaceDN w:val="0"/>
        <w:adjustRightInd w:val="0"/>
        <w:rPr>
          <w:rFonts w:cs="Calibri"/>
          <w:color w:val="000000"/>
          <w:kern w:val="0"/>
          <w:szCs w:val="22"/>
          <w:lang w:val="fr-CA"/>
        </w:rPr>
      </w:pPr>
      <w:r w:rsidRPr="00CD71E6">
        <w:rPr>
          <w:rFonts w:cs="Calibri"/>
          <w:color w:val="000000"/>
          <w:kern w:val="0"/>
          <w:szCs w:val="22"/>
          <w:lang w:val="fr-CA"/>
        </w:rPr>
        <w:t xml:space="preserve">Le CAN utilise le système de la Classification nationale des professions (CNP) du gouvernement du Canada pour catégoriser les postes. Ce système classe les groupes d’emploi ou de profession selon le type de travail réalisé et le type de compétences habituellement associées à ce travail. Le système de la CNP sert de cadre normalisé pour l’organisation du monde du travail en un système gérable, compréhensible et cohérent et se fonde sur les tâches effectuées pour le travail réalisé dans un emploi donné ainsi que sur les compétences et les connaissances requises pour effectuer ce travail. Le système classe les emplois selon les catégories suivantes : </w:t>
      </w:r>
    </w:p>
    <w:p w14:paraId="56789746" w14:textId="77777777" w:rsidR="0093656E" w:rsidRPr="00CD71E6"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0 – Gestion </w:t>
      </w:r>
    </w:p>
    <w:p w14:paraId="6B502D2C" w14:textId="77777777" w:rsidR="0093656E" w:rsidRPr="00CD71E6"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1 – Affaires, finance et administration </w:t>
      </w:r>
    </w:p>
    <w:p w14:paraId="7DE1DB87" w14:textId="77777777" w:rsidR="0093656E" w:rsidRPr="00CD71E6"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2 – Sciences naturelles et appliquées et domaines apparentés </w:t>
      </w:r>
    </w:p>
    <w:p w14:paraId="5CAFD57C" w14:textId="77777777" w:rsidR="0093656E" w:rsidRPr="00CD71E6"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3 – Secteur de la santé </w:t>
      </w:r>
    </w:p>
    <w:p w14:paraId="609DD13C" w14:textId="77777777" w:rsidR="0093656E" w:rsidRPr="00CD71E6"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4 – Enseignement, droit et services sociaux, communautaires et gouvernementaux </w:t>
      </w:r>
    </w:p>
    <w:p w14:paraId="2170C6D0" w14:textId="77777777" w:rsidR="0093656E" w:rsidRPr="00CD71E6"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5 – Arts, culture, sports et loisirs </w:t>
      </w:r>
    </w:p>
    <w:p w14:paraId="7E87CF22" w14:textId="77777777" w:rsidR="0093656E" w:rsidRPr="00CD71E6"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6 – Vente et services </w:t>
      </w:r>
    </w:p>
    <w:p w14:paraId="3B2246AF" w14:textId="77777777" w:rsidR="0093656E" w:rsidRPr="00CD71E6"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7 – Métiers, transport, machinerie et domaines apparentés </w:t>
      </w:r>
    </w:p>
    <w:p w14:paraId="2CFE80AA" w14:textId="77777777" w:rsidR="0093656E" w:rsidRPr="00CD71E6"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8 – Ressources naturelles, agriculture et production connexe </w:t>
      </w:r>
    </w:p>
    <w:p w14:paraId="3A9AD279" w14:textId="77777777" w:rsidR="0093656E" w:rsidRPr="00CD71E6" w:rsidRDefault="0093656E" w:rsidP="0094062C">
      <w:pPr>
        <w:numPr>
          <w:ilvl w:val="0"/>
          <w:numId w:val="13"/>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9 – Fabrication et services d’utilité publique </w:t>
      </w:r>
    </w:p>
    <w:p w14:paraId="60894831" w14:textId="77777777" w:rsidR="0093656E" w:rsidRPr="00CD71E6" w:rsidRDefault="0093656E" w:rsidP="002537AD">
      <w:pPr>
        <w:autoSpaceDE w:val="0"/>
        <w:autoSpaceDN w:val="0"/>
        <w:adjustRightInd w:val="0"/>
        <w:spacing w:after="184" w:line="240" w:lineRule="auto"/>
        <w:ind w:left="720"/>
        <w:contextualSpacing/>
        <w:rPr>
          <w:rFonts w:cs="Calibri"/>
          <w:color w:val="000000"/>
          <w:kern w:val="0"/>
          <w:szCs w:val="22"/>
          <w:lang w:val="fr-CA"/>
        </w:rPr>
      </w:pPr>
    </w:p>
    <w:p w14:paraId="0DA370A5" w14:textId="77777777" w:rsidR="0093656E" w:rsidRDefault="0093656E" w:rsidP="006E0989">
      <w:pPr>
        <w:autoSpaceDE w:val="0"/>
        <w:autoSpaceDN w:val="0"/>
        <w:adjustRightInd w:val="0"/>
        <w:rPr>
          <w:szCs w:val="22"/>
          <w:lang w:val="fr-CA"/>
        </w:rPr>
      </w:pPr>
      <w:r w:rsidRPr="00CD71E6">
        <w:rPr>
          <w:szCs w:val="22"/>
          <w:lang w:val="fr-CA"/>
        </w:rPr>
        <w:t xml:space="preserve">Chacune de ces grandes catégories peut être sous-divisée en grands groupes de professions qui nécessitent des connaissances et des compétences semblables. Ces groupes sont à leur tour divisés en groupes professionnels et, enfin, ces derniers peuvent être divisés par emploi. Ce système hiérarchique utilise des nombres à quatre chiffres. </w:t>
      </w:r>
    </w:p>
    <w:p w14:paraId="732176FB" w14:textId="77777777" w:rsidR="00DE5535" w:rsidRDefault="00DE5535" w:rsidP="006E0989">
      <w:pPr>
        <w:autoSpaceDE w:val="0"/>
        <w:autoSpaceDN w:val="0"/>
        <w:adjustRightInd w:val="0"/>
        <w:rPr>
          <w:szCs w:val="22"/>
          <w:lang w:val="fr-CA"/>
        </w:rPr>
      </w:pPr>
    </w:p>
    <w:p w14:paraId="65DE7397" w14:textId="77777777" w:rsidR="00DE5535" w:rsidRPr="00CD71E6" w:rsidRDefault="00DE5535" w:rsidP="006E0989">
      <w:pPr>
        <w:autoSpaceDE w:val="0"/>
        <w:autoSpaceDN w:val="0"/>
        <w:adjustRightInd w:val="0"/>
        <w:rPr>
          <w:szCs w:val="22"/>
          <w:lang w:val="fr-CA"/>
        </w:rPr>
      </w:pPr>
    </w:p>
    <w:p w14:paraId="5225328C" w14:textId="442B8A40" w:rsidR="0093656E" w:rsidRPr="00CD71E6" w:rsidRDefault="0093656E" w:rsidP="006E0989">
      <w:pPr>
        <w:autoSpaceDE w:val="0"/>
        <w:autoSpaceDN w:val="0"/>
        <w:adjustRightInd w:val="0"/>
        <w:rPr>
          <w:szCs w:val="22"/>
          <w:lang w:val="fr-CA"/>
        </w:rPr>
      </w:pPr>
      <w:r w:rsidRPr="00CD71E6">
        <w:rPr>
          <w:szCs w:val="22"/>
          <w:lang w:val="fr-CA"/>
        </w:rPr>
        <w:lastRenderedPageBreak/>
        <w:t xml:space="preserve">Parmi les exemples de chacun des grands groupes, notons :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0"/>
      </w:tblGrid>
      <w:tr w:rsidR="0093656E" w:rsidRPr="00B01B52" w14:paraId="3F164A0E" w14:textId="77777777" w:rsidTr="006E0989">
        <w:trPr>
          <w:trHeight w:val="1077"/>
        </w:trPr>
        <w:tc>
          <w:tcPr>
            <w:tcW w:w="9170" w:type="dxa"/>
            <w:vAlign w:val="bottom"/>
          </w:tcPr>
          <w:p w14:paraId="7810FF12" w14:textId="3DB00F8A" w:rsidR="0093656E" w:rsidRPr="00CD71E6" w:rsidRDefault="0093656E" w:rsidP="002537AD">
            <w:pPr>
              <w:autoSpaceDE w:val="0"/>
              <w:autoSpaceDN w:val="0"/>
              <w:adjustRightInd w:val="0"/>
              <w:spacing w:after="184" w:line="240" w:lineRule="auto"/>
              <w:rPr>
                <w:szCs w:val="22"/>
                <w:lang w:val="fr-CA"/>
              </w:rPr>
            </w:pPr>
            <w:r w:rsidRPr="00CD71E6">
              <w:rPr>
                <w:b/>
                <w:bCs/>
                <w:szCs w:val="22"/>
                <w:lang w:val="fr-CA"/>
              </w:rPr>
              <w:t>0</w:t>
            </w:r>
            <w:r w:rsidRPr="00CD71E6">
              <w:rPr>
                <w:szCs w:val="22"/>
                <w:lang w:val="fr-CA"/>
              </w:rPr>
              <w:t xml:space="preserve"> – Emplois en gestion</w:t>
            </w:r>
            <w:r w:rsidRPr="00CD71E6">
              <w:rPr>
                <w:szCs w:val="22"/>
                <w:lang w:val="fr-CA"/>
              </w:rPr>
              <w:br/>
            </w:r>
            <w:r w:rsidRPr="00CD71E6">
              <w:rPr>
                <w:b/>
                <w:bCs/>
                <w:szCs w:val="22"/>
                <w:lang w:val="fr-CA"/>
              </w:rPr>
              <w:t>042</w:t>
            </w:r>
            <w:r w:rsidRPr="00CD71E6">
              <w:rPr>
                <w:szCs w:val="22"/>
                <w:lang w:val="fr-CA"/>
              </w:rPr>
              <w:t xml:space="preserve"> – Directeurs/directrices de l’enseignement et des services sociaux et communautaires </w:t>
            </w:r>
            <w:r w:rsidRPr="00CD71E6">
              <w:rPr>
                <w:szCs w:val="22"/>
                <w:lang w:val="fr-CA"/>
              </w:rPr>
              <w:br/>
            </w:r>
            <w:r w:rsidRPr="00CD71E6">
              <w:rPr>
                <w:b/>
                <w:bCs/>
                <w:szCs w:val="22"/>
                <w:lang w:val="fr-CA"/>
              </w:rPr>
              <w:t>0421</w:t>
            </w:r>
            <w:r w:rsidRPr="00CD71E6">
              <w:rPr>
                <w:szCs w:val="22"/>
                <w:lang w:val="fr-CA"/>
              </w:rPr>
              <w:t xml:space="preserve"> – Administrateurs/administratrices – enseignement postsecondaire et formation professionnelle</w:t>
            </w:r>
            <w:r w:rsidRPr="00CD71E6">
              <w:rPr>
                <w:b/>
                <w:bCs/>
                <w:szCs w:val="22"/>
                <w:lang w:val="fr-CA"/>
              </w:rPr>
              <w:t xml:space="preserve"> </w:t>
            </w:r>
          </w:p>
        </w:tc>
      </w:tr>
      <w:tr w:rsidR="0093656E" w:rsidRPr="00B01B52" w14:paraId="57877DFB" w14:textId="77777777" w:rsidTr="006E0989">
        <w:trPr>
          <w:trHeight w:val="1296"/>
        </w:trPr>
        <w:tc>
          <w:tcPr>
            <w:tcW w:w="9170" w:type="dxa"/>
            <w:vAlign w:val="bottom"/>
          </w:tcPr>
          <w:p w14:paraId="5523BFF2" w14:textId="2205642A" w:rsidR="0093656E" w:rsidRPr="00CD71E6" w:rsidRDefault="0093656E" w:rsidP="002537AD">
            <w:pPr>
              <w:autoSpaceDE w:val="0"/>
              <w:autoSpaceDN w:val="0"/>
              <w:adjustRightInd w:val="0"/>
              <w:spacing w:after="184" w:line="240" w:lineRule="auto"/>
              <w:rPr>
                <w:rFonts w:cs="Calibri"/>
                <w:color w:val="000000"/>
                <w:kern w:val="0"/>
                <w:szCs w:val="22"/>
                <w:lang w:val="fr-CA"/>
              </w:rPr>
            </w:pPr>
            <w:r w:rsidRPr="00CD71E6">
              <w:rPr>
                <w:rFonts w:cs="Calibri"/>
                <w:b/>
                <w:bCs/>
                <w:color w:val="000000"/>
                <w:kern w:val="0"/>
                <w:szCs w:val="22"/>
                <w:lang w:val="fr-CA"/>
              </w:rPr>
              <w:t>1</w:t>
            </w:r>
            <w:r w:rsidRPr="00CD71E6">
              <w:rPr>
                <w:rFonts w:cs="Calibri"/>
                <w:color w:val="000000"/>
                <w:kern w:val="0"/>
                <w:szCs w:val="22"/>
                <w:lang w:val="fr-CA"/>
              </w:rPr>
              <w:t xml:space="preserve"> – Personnel professionnel en gestion des affaires et en finance </w:t>
            </w:r>
            <w:r w:rsidR="00DE5535">
              <w:rPr>
                <w:rFonts w:cs="Calibri"/>
                <w:color w:val="000000"/>
                <w:kern w:val="0"/>
                <w:szCs w:val="22"/>
                <w:lang w:val="fr-CA"/>
              </w:rPr>
              <w:br/>
            </w:r>
            <w:r w:rsidRPr="00CD71E6">
              <w:rPr>
                <w:rFonts w:cs="Calibri"/>
                <w:b/>
                <w:bCs/>
                <w:color w:val="000000"/>
                <w:kern w:val="0"/>
                <w:szCs w:val="22"/>
                <w:lang w:val="fr-CA"/>
              </w:rPr>
              <w:t>12</w:t>
            </w:r>
            <w:r w:rsidRPr="00CD71E6">
              <w:rPr>
                <w:rFonts w:cs="Calibri"/>
                <w:color w:val="000000"/>
                <w:kern w:val="0"/>
                <w:szCs w:val="22"/>
                <w:lang w:val="fr-CA"/>
              </w:rPr>
              <w:t xml:space="preserve"> – Personnel de supervision du travail administratif et financier et personnel administratif</w:t>
            </w:r>
            <w:r w:rsidRPr="00CD71E6">
              <w:rPr>
                <w:rFonts w:cs="Calibri"/>
                <w:color w:val="000000"/>
                <w:kern w:val="0"/>
                <w:szCs w:val="22"/>
                <w:lang w:val="fr-CA"/>
              </w:rPr>
              <w:br/>
            </w:r>
            <w:r w:rsidRPr="00CD71E6">
              <w:rPr>
                <w:rFonts w:cs="Calibri"/>
                <w:b/>
                <w:bCs/>
                <w:color w:val="000000"/>
                <w:kern w:val="0"/>
                <w:szCs w:val="22"/>
                <w:lang w:val="fr-CA"/>
              </w:rPr>
              <w:t>124</w:t>
            </w:r>
            <w:r w:rsidRPr="00CD71E6">
              <w:rPr>
                <w:rFonts w:cs="Calibri"/>
                <w:color w:val="000000"/>
                <w:kern w:val="0"/>
                <w:szCs w:val="22"/>
                <w:lang w:val="fr-CA"/>
              </w:rPr>
              <w:t xml:space="preserve"> – Adjoints administratifs/adjointes administratives de bureau – général, juridique et médical </w:t>
            </w:r>
            <w:r w:rsidRPr="00CD71E6">
              <w:rPr>
                <w:rFonts w:cs="Calibri"/>
                <w:b/>
                <w:bCs/>
                <w:color w:val="000000"/>
                <w:kern w:val="0"/>
                <w:szCs w:val="22"/>
                <w:lang w:val="fr-CA"/>
              </w:rPr>
              <w:t xml:space="preserve">1241 </w:t>
            </w:r>
            <w:r w:rsidRPr="00CD71E6">
              <w:rPr>
                <w:rFonts w:cs="Calibri"/>
                <w:color w:val="000000"/>
                <w:kern w:val="0"/>
                <w:szCs w:val="22"/>
                <w:lang w:val="fr-CA"/>
              </w:rPr>
              <w:t>– Adjoints administratifs/adjointes administratives</w:t>
            </w:r>
          </w:p>
        </w:tc>
      </w:tr>
      <w:tr w:rsidR="0093656E" w:rsidRPr="00B01B52" w14:paraId="7E18D373" w14:textId="77777777" w:rsidTr="006E0989">
        <w:trPr>
          <w:trHeight w:val="1296"/>
        </w:trPr>
        <w:tc>
          <w:tcPr>
            <w:tcW w:w="9170" w:type="dxa"/>
            <w:vAlign w:val="bottom"/>
          </w:tcPr>
          <w:p w14:paraId="03F8E293" w14:textId="43E05FD9" w:rsidR="0093656E" w:rsidRPr="00CD71E6" w:rsidRDefault="0093656E" w:rsidP="002537AD">
            <w:pPr>
              <w:rPr>
                <w:rFonts w:cs="Calibri"/>
                <w:szCs w:val="22"/>
                <w:lang w:val="fr-CA"/>
              </w:rPr>
            </w:pPr>
            <w:r w:rsidRPr="00CD71E6">
              <w:rPr>
                <w:b/>
                <w:bCs/>
                <w:szCs w:val="22"/>
                <w:lang w:val="fr-CA"/>
              </w:rPr>
              <w:t>4</w:t>
            </w:r>
            <w:r w:rsidRPr="00CD71E6">
              <w:rPr>
                <w:szCs w:val="22"/>
                <w:lang w:val="fr-CA"/>
              </w:rPr>
              <w:t xml:space="preserve"> – Emplois en enseignement, droit et services sociaux, communautaires et gouvernementaux</w:t>
            </w:r>
            <w:r w:rsidRPr="00CD71E6">
              <w:rPr>
                <w:szCs w:val="22"/>
                <w:lang w:val="fr-CA"/>
              </w:rPr>
              <w:br/>
            </w:r>
            <w:r w:rsidRPr="00CD71E6">
              <w:rPr>
                <w:b/>
                <w:bCs/>
                <w:szCs w:val="22"/>
                <w:lang w:val="fr-CA"/>
              </w:rPr>
              <w:t xml:space="preserve">40 </w:t>
            </w:r>
            <w:r w:rsidRPr="00CD71E6">
              <w:rPr>
                <w:lang w:val="fr-CA"/>
              </w:rPr>
              <w:t xml:space="preserve">– Personnel professionnel en services d’enseignement </w:t>
            </w:r>
            <w:r w:rsidR="00DE5535">
              <w:rPr>
                <w:lang w:val="fr-CA"/>
              </w:rPr>
              <w:br/>
            </w:r>
            <w:r w:rsidRPr="00CD71E6">
              <w:rPr>
                <w:b/>
                <w:bCs/>
                <w:szCs w:val="22"/>
                <w:lang w:val="fr-CA"/>
              </w:rPr>
              <w:t>402</w:t>
            </w:r>
            <w:r w:rsidRPr="00CD71E6">
              <w:rPr>
                <w:szCs w:val="22"/>
                <w:lang w:val="fr-CA"/>
              </w:rPr>
              <w:t xml:space="preserve"> – Enseignants/enseignantes au niveau collégial et autres instructeurs/instructrices en formation professionnelle</w:t>
            </w:r>
            <w:r w:rsidRPr="00CD71E6">
              <w:rPr>
                <w:szCs w:val="22"/>
                <w:lang w:val="fr-CA"/>
              </w:rPr>
              <w:br/>
            </w:r>
            <w:r w:rsidRPr="00CD71E6">
              <w:rPr>
                <w:b/>
                <w:bCs/>
                <w:szCs w:val="22"/>
                <w:lang w:val="fr-CA"/>
              </w:rPr>
              <w:t xml:space="preserve">4021 </w:t>
            </w:r>
            <w:r w:rsidRPr="00CD71E6">
              <w:rPr>
                <w:szCs w:val="22"/>
                <w:lang w:val="fr-CA"/>
              </w:rPr>
              <w:t xml:space="preserve">– Enseignants/enseignantes au niveau collégial et autres instructeurs/instructrices en formation professionnelle </w:t>
            </w:r>
          </w:p>
        </w:tc>
      </w:tr>
    </w:tbl>
    <w:p w14:paraId="1974EFDF" w14:textId="77777777" w:rsidR="0093656E" w:rsidRPr="00CD71E6" w:rsidRDefault="0093656E" w:rsidP="003F226B">
      <w:pPr>
        <w:pStyle w:val="Heading2"/>
        <w:rPr>
          <w:lang w:val="fr-CA"/>
        </w:rPr>
      </w:pPr>
      <w:bookmarkStart w:id="45" w:name="_Toc505763741"/>
      <w:bookmarkStart w:id="46" w:name="_Toc41053703"/>
      <w:r w:rsidRPr="00CD71E6">
        <w:rPr>
          <w:bCs/>
          <w:lang w:val="fr-CA"/>
        </w:rPr>
        <w:t>Embauchage des Inuits par codes de la CNP et catégories d’emploi</w:t>
      </w:r>
      <w:bookmarkEnd w:id="45"/>
      <w:bookmarkEnd w:id="46"/>
    </w:p>
    <w:p w14:paraId="75C51803" w14:textId="4107345B" w:rsidR="0093656E" w:rsidRPr="00CD71E6" w:rsidRDefault="0093656E" w:rsidP="006E0989">
      <w:pPr>
        <w:autoSpaceDE w:val="0"/>
        <w:autoSpaceDN w:val="0"/>
        <w:adjustRightInd w:val="0"/>
        <w:rPr>
          <w:szCs w:val="22"/>
          <w:lang w:val="fr-CA"/>
        </w:rPr>
      </w:pPr>
      <w:r w:rsidRPr="00CD71E6">
        <w:rPr>
          <w:color w:val="000000"/>
          <w:kern w:val="0"/>
          <w:szCs w:val="22"/>
          <w:lang w:val="fr-CA"/>
        </w:rPr>
        <w:t xml:space="preserve">Selon une analyse exhaustive de la main-d’œuvre du Collège, </w:t>
      </w:r>
      <w:r w:rsidRPr="00CD71E6">
        <w:rPr>
          <w:szCs w:val="22"/>
          <w:lang w:val="fr-CA"/>
        </w:rPr>
        <w:t>les codes de la CNP suivants étaient présents dans la main-d’œuvre :</w:t>
      </w:r>
    </w:p>
    <w:p w14:paraId="25370F45" w14:textId="77777777" w:rsidR="0093656E" w:rsidRPr="00CD71E6"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0 – Gestion </w:t>
      </w:r>
    </w:p>
    <w:p w14:paraId="4C519E5C" w14:textId="77777777" w:rsidR="0093656E" w:rsidRPr="00CD71E6"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1 – Affaires, finance et administration </w:t>
      </w:r>
    </w:p>
    <w:p w14:paraId="72351685" w14:textId="77777777" w:rsidR="0093656E" w:rsidRPr="00CD71E6"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2 – Sciences naturelles et appliquées et domaines apparentés </w:t>
      </w:r>
    </w:p>
    <w:p w14:paraId="79ADEA1E" w14:textId="77777777" w:rsidR="0093656E" w:rsidRPr="00CD71E6"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4 – Enseignement, droit et services sociaux, communautaires et gouvernementaux</w:t>
      </w:r>
    </w:p>
    <w:p w14:paraId="1FFB8034" w14:textId="77777777" w:rsidR="0093656E" w:rsidRPr="00CD71E6"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5 – Emplois en arts, culture, sports et loisirs </w:t>
      </w:r>
    </w:p>
    <w:p w14:paraId="0E7215BF" w14:textId="77777777" w:rsidR="0093656E" w:rsidRPr="00CD71E6"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6 – Vente et services </w:t>
      </w:r>
    </w:p>
    <w:p w14:paraId="49B90578" w14:textId="77777777" w:rsidR="0093656E" w:rsidRPr="00CD71E6"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7 – Métiers, transport, machinerie et domaines apparentés </w:t>
      </w:r>
    </w:p>
    <w:p w14:paraId="5A13B890" w14:textId="77777777" w:rsidR="0093656E" w:rsidRPr="00CD71E6" w:rsidRDefault="0093656E" w:rsidP="002537AD">
      <w:pPr>
        <w:autoSpaceDE w:val="0"/>
        <w:autoSpaceDN w:val="0"/>
        <w:adjustRightInd w:val="0"/>
        <w:spacing w:after="184" w:line="240" w:lineRule="auto"/>
        <w:ind w:left="720"/>
        <w:contextualSpacing/>
        <w:rPr>
          <w:rFonts w:cs="Calibri"/>
          <w:color w:val="000000"/>
          <w:kern w:val="0"/>
          <w:szCs w:val="22"/>
          <w:lang w:val="fr-CA"/>
        </w:rPr>
      </w:pPr>
    </w:p>
    <w:p w14:paraId="419C62B3" w14:textId="77777777" w:rsidR="0093656E" w:rsidRPr="00CD71E6" w:rsidRDefault="0093656E" w:rsidP="006E0989">
      <w:pPr>
        <w:autoSpaceDE w:val="0"/>
        <w:autoSpaceDN w:val="0"/>
        <w:adjustRightInd w:val="0"/>
        <w:rPr>
          <w:rFonts w:cs="Calibri"/>
          <w:color w:val="000000"/>
          <w:kern w:val="0"/>
          <w:szCs w:val="22"/>
          <w:lang w:val="fr-CA"/>
        </w:rPr>
      </w:pPr>
      <w:r w:rsidRPr="00CD71E6">
        <w:rPr>
          <w:rFonts w:cs="Calibri"/>
          <w:color w:val="000000"/>
          <w:kern w:val="0"/>
          <w:szCs w:val="22"/>
          <w:lang w:val="fr-CA"/>
        </w:rPr>
        <w:t>Une analyse approfondie a permis de déterminer qu’environ 88 % de la main-d’œuvre totale se classait parmi trois codes de la CNP :</w:t>
      </w:r>
    </w:p>
    <w:p w14:paraId="27834692" w14:textId="77777777" w:rsidR="0093656E" w:rsidRPr="00CD71E6"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 xml:space="preserve">0 – Affaires, finance et administration </w:t>
      </w:r>
    </w:p>
    <w:p w14:paraId="723704D6" w14:textId="04F5C670" w:rsidR="0093656E" w:rsidRPr="00CD71E6"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1 – Affaires, finance et administration</w:t>
      </w:r>
    </w:p>
    <w:p w14:paraId="43C16F9E" w14:textId="77777777" w:rsidR="0093656E" w:rsidRPr="00CD71E6" w:rsidRDefault="0093656E" w:rsidP="0094062C">
      <w:pPr>
        <w:numPr>
          <w:ilvl w:val="0"/>
          <w:numId w:val="14"/>
        </w:numPr>
        <w:autoSpaceDE w:val="0"/>
        <w:autoSpaceDN w:val="0"/>
        <w:adjustRightInd w:val="0"/>
        <w:spacing w:after="184" w:line="240" w:lineRule="auto"/>
        <w:contextualSpacing/>
        <w:rPr>
          <w:rFonts w:cs="Calibri"/>
          <w:color w:val="000000"/>
          <w:kern w:val="0"/>
          <w:szCs w:val="22"/>
          <w:lang w:val="fr-CA"/>
        </w:rPr>
      </w:pPr>
      <w:r w:rsidRPr="00CD71E6">
        <w:rPr>
          <w:rFonts w:cs="Calibri"/>
          <w:color w:val="000000"/>
          <w:kern w:val="0"/>
          <w:szCs w:val="22"/>
          <w:lang w:val="fr-CA"/>
        </w:rPr>
        <w:t>4 – Enseignement, droit et services sociaux, communautaires et gouvernementaux</w:t>
      </w:r>
    </w:p>
    <w:p w14:paraId="6EE3CD33" w14:textId="77777777" w:rsidR="0093656E" w:rsidRPr="00CD71E6" w:rsidRDefault="0093656E" w:rsidP="002537AD">
      <w:pPr>
        <w:autoSpaceDE w:val="0"/>
        <w:autoSpaceDN w:val="0"/>
        <w:adjustRightInd w:val="0"/>
        <w:spacing w:after="184" w:line="240" w:lineRule="auto"/>
        <w:ind w:left="720"/>
        <w:contextualSpacing/>
        <w:rPr>
          <w:rFonts w:cs="Calibri"/>
          <w:color w:val="000000"/>
          <w:kern w:val="0"/>
          <w:szCs w:val="22"/>
          <w:lang w:val="fr-CA"/>
        </w:rPr>
      </w:pPr>
    </w:p>
    <w:p w14:paraId="3443FE56" w14:textId="2C508CC2" w:rsidR="00DE5535" w:rsidRDefault="0093656E" w:rsidP="006E0989">
      <w:pPr>
        <w:autoSpaceDE w:val="0"/>
        <w:autoSpaceDN w:val="0"/>
        <w:adjustRightInd w:val="0"/>
        <w:rPr>
          <w:rFonts w:cs="Calibri"/>
          <w:color w:val="000000"/>
          <w:kern w:val="0"/>
          <w:szCs w:val="22"/>
          <w:lang w:val="fr-CA"/>
        </w:rPr>
      </w:pPr>
      <w:r w:rsidRPr="00CD71E6">
        <w:rPr>
          <w:rFonts w:cs="Calibri"/>
          <w:color w:val="000000"/>
          <w:kern w:val="0"/>
          <w:szCs w:val="22"/>
          <w:lang w:val="fr-CA"/>
        </w:rPr>
        <w:t xml:space="preserve">Pour mieux organiser les données, les postes ayant des codes de la CNP des catégories 0, 1 et 4 ont été classés en groupe selon leurs catégories d’emploi au GN. Les données ont ensuite été fragmentées par total de postes, nombre de postes pourvus et nombre d’Inuits embauchés. </w:t>
      </w:r>
    </w:p>
    <w:p w14:paraId="2934B7C2" w14:textId="77777777" w:rsidR="00DE5535" w:rsidRDefault="00DE5535">
      <w:pPr>
        <w:spacing w:after="200" w:line="276" w:lineRule="auto"/>
        <w:rPr>
          <w:rFonts w:cs="Calibri"/>
          <w:color w:val="000000"/>
          <w:kern w:val="0"/>
          <w:szCs w:val="22"/>
          <w:lang w:val="fr-CA"/>
        </w:rPr>
      </w:pPr>
      <w:r>
        <w:rPr>
          <w:rFonts w:cs="Calibri"/>
          <w:color w:val="000000"/>
          <w:kern w:val="0"/>
          <w:szCs w:val="22"/>
          <w:lang w:val="fr-CA"/>
        </w:rPr>
        <w:br w:type="page"/>
      </w:r>
    </w:p>
    <w:p w14:paraId="2F80F6CB" w14:textId="020D09A0" w:rsidR="0093656E" w:rsidRPr="00CD71E6" w:rsidRDefault="0093656E" w:rsidP="006E0989">
      <w:pPr>
        <w:autoSpaceDE w:val="0"/>
        <w:autoSpaceDN w:val="0"/>
        <w:adjustRightInd w:val="0"/>
        <w:rPr>
          <w:rFonts w:cs="Calibri"/>
          <w:color w:val="000000"/>
          <w:kern w:val="0"/>
          <w:szCs w:val="22"/>
          <w:lang w:val="fr-CA"/>
        </w:rPr>
      </w:pPr>
      <w:r w:rsidRPr="00CD71E6">
        <w:rPr>
          <w:rFonts w:cs="Calibri"/>
          <w:color w:val="000000"/>
          <w:kern w:val="0"/>
          <w:szCs w:val="22"/>
          <w:lang w:val="fr-CA"/>
        </w:rPr>
        <w:lastRenderedPageBreak/>
        <w:t>À l’aide de cette méthode, le Collège a cerné des groupes dans trois catégories d’emploi particulières :</w:t>
      </w:r>
    </w:p>
    <w:p w14:paraId="0188A384" w14:textId="77777777" w:rsidR="0093656E" w:rsidRPr="00CD71E6" w:rsidRDefault="0093656E" w:rsidP="002537AD">
      <w:pPr>
        <w:spacing w:after="0" w:line="276" w:lineRule="auto"/>
        <w:ind w:left="360"/>
        <w:rPr>
          <w:b/>
          <w:lang w:val="fr-CA"/>
        </w:rPr>
      </w:pPr>
      <w:r w:rsidRPr="00CD71E6">
        <w:rPr>
          <w:b/>
          <w:bCs/>
          <w:lang w:val="fr-CA"/>
        </w:rPr>
        <w:t>Cadres supérieurs</w:t>
      </w:r>
    </w:p>
    <w:p w14:paraId="0D1771C1" w14:textId="1FE8A3B5" w:rsidR="00907D83" w:rsidRPr="00CD71E6" w:rsidRDefault="00310ADA" w:rsidP="0094062C">
      <w:pPr>
        <w:numPr>
          <w:ilvl w:val="0"/>
          <w:numId w:val="15"/>
        </w:numPr>
        <w:rPr>
          <w:lang w:val="fr-CA"/>
        </w:rPr>
      </w:pPr>
      <w:r w:rsidRPr="00CD71E6">
        <w:rPr>
          <w:lang w:val="fr-CA"/>
        </w:rPr>
        <w:t xml:space="preserve">0421 : Administrateurs/administratrices – enseignement postsecondaire et formation professionnelle </w:t>
      </w:r>
    </w:p>
    <w:p w14:paraId="76FB58DD" w14:textId="2B0C2C97" w:rsidR="0093656E" w:rsidRPr="00CD71E6" w:rsidRDefault="0093656E" w:rsidP="002537AD">
      <w:pPr>
        <w:spacing w:after="0"/>
        <w:ind w:left="360"/>
        <w:contextualSpacing/>
        <w:rPr>
          <w:b/>
          <w:lang w:val="fr-CA"/>
        </w:rPr>
      </w:pPr>
      <w:r w:rsidRPr="00CD71E6">
        <w:rPr>
          <w:b/>
          <w:bCs/>
          <w:lang w:val="fr-CA"/>
        </w:rPr>
        <w:t>Cadres intermédiaires</w:t>
      </w:r>
    </w:p>
    <w:p w14:paraId="346B4344" w14:textId="77777777" w:rsidR="00907D83" w:rsidRPr="00CD71E6" w:rsidRDefault="00907D83" w:rsidP="0094062C">
      <w:pPr>
        <w:numPr>
          <w:ilvl w:val="0"/>
          <w:numId w:val="15"/>
        </w:numPr>
        <w:contextualSpacing/>
        <w:rPr>
          <w:lang w:val="fr-CA"/>
        </w:rPr>
      </w:pPr>
      <w:r w:rsidRPr="00CD71E6">
        <w:rPr>
          <w:lang w:val="fr-CA"/>
        </w:rPr>
        <w:t xml:space="preserve">0421 : Administrateurs/administratrices – enseignement postsecondaire et formation professionnelle </w:t>
      </w:r>
    </w:p>
    <w:p w14:paraId="0A88DBDA" w14:textId="6E18093D" w:rsidR="00907D83" w:rsidRPr="00CD71E6" w:rsidRDefault="0093656E" w:rsidP="0094062C">
      <w:pPr>
        <w:numPr>
          <w:ilvl w:val="0"/>
          <w:numId w:val="15"/>
        </w:numPr>
        <w:rPr>
          <w:lang w:val="fr-CA"/>
        </w:rPr>
      </w:pPr>
      <w:r w:rsidRPr="00CD71E6">
        <w:rPr>
          <w:lang w:val="fr-CA"/>
        </w:rPr>
        <w:t>0413 : Gestionnaires de la fonction publique – élaboration de politiques en matière d’éducation et administration de programmes</w:t>
      </w:r>
    </w:p>
    <w:p w14:paraId="18E57EB5" w14:textId="5773A4DF" w:rsidR="0093656E" w:rsidRPr="00CD71E6" w:rsidRDefault="0093656E" w:rsidP="002537AD">
      <w:pPr>
        <w:spacing w:after="0"/>
        <w:ind w:left="360"/>
        <w:contextualSpacing/>
        <w:rPr>
          <w:b/>
          <w:lang w:val="fr-CA"/>
        </w:rPr>
      </w:pPr>
      <w:r w:rsidRPr="00CD71E6">
        <w:rPr>
          <w:b/>
          <w:bCs/>
          <w:lang w:val="fr-CA"/>
        </w:rPr>
        <w:t>Professionnels</w:t>
      </w:r>
    </w:p>
    <w:p w14:paraId="201B41FC" w14:textId="77777777" w:rsidR="00907D83" w:rsidRPr="00CD71E6" w:rsidRDefault="00907D83" w:rsidP="0094062C">
      <w:pPr>
        <w:numPr>
          <w:ilvl w:val="0"/>
          <w:numId w:val="15"/>
        </w:numPr>
        <w:contextualSpacing/>
        <w:rPr>
          <w:lang w:val="fr-CA"/>
        </w:rPr>
      </w:pPr>
      <w:r w:rsidRPr="00CD71E6">
        <w:rPr>
          <w:lang w:val="fr-CA"/>
        </w:rPr>
        <w:t xml:space="preserve">0421 : Administrateurs/administratrices – enseignement postsecondaire et formation professionnelle </w:t>
      </w:r>
    </w:p>
    <w:p w14:paraId="62902A81" w14:textId="77777777" w:rsidR="0093656E" w:rsidRPr="00CD71E6" w:rsidRDefault="0093656E" w:rsidP="0094062C">
      <w:pPr>
        <w:numPr>
          <w:ilvl w:val="0"/>
          <w:numId w:val="15"/>
        </w:numPr>
        <w:contextualSpacing/>
        <w:rPr>
          <w:lang w:val="fr-CA"/>
        </w:rPr>
      </w:pPr>
      <w:r w:rsidRPr="00CD71E6">
        <w:rPr>
          <w:lang w:val="fr-CA"/>
        </w:rPr>
        <w:t>4021 : Enseignants/enseignantes au niveau collégial et autres instructeurs/instructrices en formation professionnelle</w:t>
      </w:r>
    </w:p>
    <w:p w14:paraId="4FBB7592" w14:textId="77777777" w:rsidR="0093656E" w:rsidRPr="00CD71E6" w:rsidRDefault="0093656E" w:rsidP="0094062C">
      <w:pPr>
        <w:numPr>
          <w:ilvl w:val="0"/>
          <w:numId w:val="15"/>
        </w:numPr>
        <w:contextualSpacing/>
        <w:rPr>
          <w:lang w:val="fr-CA"/>
        </w:rPr>
      </w:pPr>
      <w:r w:rsidRPr="00CD71E6">
        <w:rPr>
          <w:lang w:val="fr-CA"/>
        </w:rPr>
        <w:t>4156 : Conseillers/conseillères en emploi</w:t>
      </w:r>
    </w:p>
    <w:p w14:paraId="6B064DAA" w14:textId="1B5A13EA" w:rsidR="00907D83" w:rsidRPr="00CD71E6" w:rsidRDefault="0093656E" w:rsidP="0094062C">
      <w:pPr>
        <w:numPr>
          <w:ilvl w:val="0"/>
          <w:numId w:val="15"/>
        </w:numPr>
        <w:rPr>
          <w:lang w:val="fr-CA"/>
        </w:rPr>
      </w:pPr>
      <w:r w:rsidRPr="00CD71E6">
        <w:rPr>
          <w:lang w:val="fr-CA"/>
        </w:rPr>
        <w:t>4166 : Recherchistes, experts-conseils/expertes-conseils et agents/agentes de programmes en politiques de l’enseignement</w:t>
      </w:r>
    </w:p>
    <w:p w14:paraId="6C61D118" w14:textId="3F66EFB2" w:rsidR="0093656E" w:rsidRPr="00CD71E6" w:rsidRDefault="0093656E" w:rsidP="002537AD">
      <w:pPr>
        <w:spacing w:after="0"/>
        <w:ind w:left="360"/>
        <w:contextualSpacing/>
        <w:rPr>
          <w:b/>
          <w:lang w:val="fr-CA"/>
        </w:rPr>
      </w:pPr>
      <w:r w:rsidRPr="00CD71E6">
        <w:rPr>
          <w:b/>
          <w:bCs/>
          <w:lang w:val="fr-CA"/>
        </w:rPr>
        <w:t>Paraprofessionnels</w:t>
      </w:r>
    </w:p>
    <w:p w14:paraId="02C31667" w14:textId="77777777" w:rsidR="00907D83" w:rsidRPr="00CD71E6" w:rsidRDefault="00907D83" w:rsidP="0094062C">
      <w:pPr>
        <w:numPr>
          <w:ilvl w:val="0"/>
          <w:numId w:val="15"/>
        </w:numPr>
        <w:contextualSpacing/>
        <w:rPr>
          <w:lang w:val="fr-CA"/>
        </w:rPr>
      </w:pPr>
      <w:r w:rsidRPr="00CD71E6">
        <w:rPr>
          <w:lang w:val="fr-CA"/>
        </w:rPr>
        <w:t xml:space="preserve">0421 : Administrateurs/administratrices – enseignement postsecondaire et formation professionnelle </w:t>
      </w:r>
    </w:p>
    <w:p w14:paraId="220A6CB6" w14:textId="77777777" w:rsidR="0093656E" w:rsidRPr="00CD71E6" w:rsidRDefault="0093656E" w:rsidP="0094062C">
      <w:pPr>
        <w:numPr>
          <w:ilvl w:val="0"/>
          <w:numId w:val="15"/>
        </w:numPr>
        <w:contextualSpacing/>
        <w:rPr>
          <w:lang w:val="fr-CA"/>
        </w:rPr>
      </w:pPr>
      <w:r w:rsidRPr="00CD71E6">
        <w:rPr>
          <w:lang w:val="fr-CA"/>
        </w:rPr>
        <w:t>4033 : Conseillers/conseillères en information scolaire</w:t>
      </w:r>
    </w:p>
    <w:p w14:paraId="4AAEB56F" w14:textId="3B9E8A1E" w:rsidR="00907D83" w:rsidRPr="00CD71E6" w:rsidRDefault="0093656E" w:rsidP="0094062C">
      <w:pPr>
        <w:numPr>
          <w:ilvl w:val="0"/>
          <w:numId w:val="15"/>
        </w:numPr>
        <w:rPr>
          <w:lang w:val="fr-CA"/>
        </w:rPr>
      </w:pPr>
      <w:r w:rsidRPr="00CD71E6">
        <w:rPr>
          <w:lang w:val="fr-CA"/>
        </w:rPr>
        <w:t>4166 : Recherchistes, experts-conseils/expertes-conseils et agents/agentes de programmes en politiques de l’enseignement</w:t>
      </w:r>
    </w:p>
    <w:p w14:paraId="6CC55D9F" w14:textId="6BDE4FF7" w:rsidR="0093656E" w:rsidRPr="00CD71E6" w:rsidRDefault="0093656E" w:rsidP="002537AD">
      <w:pPr>
        <w:spacing w:after="0"/>
        <w:ind w:left="360"/>
        <w:contextualSpacing/>
        <w:rPr>
          <w:b/>
          <w:lang w:val="fr-CA"/>
        </w:rPr>
      </w:pPr>
      <w:r w:rsidRPr="00CD71E6">
        <w:rPr>
          <w:b/>
          <w:bCs/>
          <w:lang w:val="fr-CA"/>
        </w:rPr>
        <w:t>Soutien administratif</w:t>
      </w:r>
    </w:p>
    <w:p w14:paraId="6AA59A44" w14:textId="77777777" w:rsidR="0093656E" w:rsidRPr="00CD71E6" w:rsidRDefault="0093656E" w:rsidP="0094062C">
      <w:pPr>
        <w:numPr>
          <w:ilvl w:val="0"/>
          <w:numId w:val="15"/>
        </w:numPr>
        <w:contextualSpacing/>
        <w:rPr>
          <w:lang w:val="fr-CA"/>
        </w:rPr>
      </w:pPr>
      <w:r w:rsidRPr="00CD71E6">
        <w:rPr>
          <w:lang w:val="fr-CA"/>
        </w:rPr>
        <w:t>1221 : Agents/agentes d’administration</w:t>
      </w:r>
    </w:p>
    <w:p w14:paraId="6E1C0621" w14:textId="6E96305E" w:rsidR="00DE5535" w:rsidRDefault="0093656E" w:rsidP="0094062C">
      <w:pPr>
        <w:numPr>
          <w:ilvl w:val="0"/>
          <w:numId w:val="15"/>
        </w:numPr>
        <w:rPr>
          <w:lang w:val="fr-CA"/>
        </w:rPr>
      </w:pPr>
      <w:r w:rsidRPr="00CD71E6">
        <w:rPr>
          <w:lang w:val="fr-CA"/>
        </w:rPr>
        <w:t>1241 : Adjoints administratifs/adjointes administratives</w:t>
      </w:r>
    </w:p>
    <w:p w14:paraId="7ECF37A2" w14:textId="7E1E019D" w:rsidR="0093656E" w:rsidRPr="00CD71E6" w:rsidRDefault="00DE5535" w:rsidP="00DE5535">
      <w:pPr>
        <w:spacing w:after="200" w:line="276" w:lineRule="auto"/>
        <w:rPr>
          <w:lang w:val="fr-CA"/>
        </w:rPr>
      </w:pPr>
      <w:r>
        <w:rPr>
          <w:lang w:val="fr-CA"/>
        </w:rPr>
        <w:br w:type="page"/>
      </w:r>
    </w:p>
    <w:p w14:paraId="4424219D" w14:textId="1D582126" w:rsidR="0093656E" w:rsidRPr="00CD71E6" w:rsidRDefault="0093656E" w:rsidP="0093656E">
      <w:pPr>
        <w:pStyle w:val="Heading3"/>
        <w:jc w:val="both"/>
        <w:rPr>
          <w:lang w:val="fr-CA"/>
        </w:rPr>
      </w:pPr>
      <w:bookmarkStart w:id="47" w:name="_Toc505763742"/>
      <w:bookmarkStart w:id="48" w:name="_Toc41053704"/>
      <w:r w:rsidRPr="00CD71E6">
        <w:rPr>
          <w:bCs/>
          <w:lang w:val="fr-CA"/>
        </w:rPr>
        <w:lastRenderedPageBreak/>
        <w:t>Embauchage des Inuits comme cadres supérieurs</w:t>
      </w:r>
      <w:bookmarkEnd w:id="47"/>
      <w:bookmarkEnd w:id="48"/>
    </w:p>
    <w:p w14:paraId="2ABEDC45" w14:textId="29D404D2" w:rsidR="0093656E" w:rsidRPr="00CD71E6" w:rsidRDefault="0093656E" w:rsidP="006E0989">
      <w:pPr>
        <w:autoSpaceDE w:val="0"/>
        <w:autoSpaceDN w:val="0"/>
        <w:adjustRightInd w:val="0"/>
        <w:rPr>
          <w:rFonts w:cs="Calibri"/>
          <w:color w:val="000000"/>
          <w:kern w:val="0"/>
          <w:szCs w:val="22"/>
          <w:lang w:val="fr-CA"/>
        </w:rPr>
      </w:pPr>
      <w:r w:rsidRPr="00CD71E6">
        <w:rPr>
          <w:rFonts w:cs="Calibri"/>
          <w:color w:val="000000"/>
          <w:kern w:val="0"/>
          <w:szCs w:val="22"/>
          <w:lang w:val="fr-CA"/>
        </w:rPr>
        <w:t xml:space="preserve">Pour la catégorie des cadres supérieurs, le Collège a relevé un total de 3,00 postes ETP pour l’embauchage potentiel d’Inuits. Tous les 3,00 postes ETP ont été pourvus et 2,00 postes l’ont été par des Inuits.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1282"/>
        <w:gridCol w:w="1283"/>
        <w:gridCol w:w="1282"/>
        <w:gridCol w:w="1283"/>
        <w:gridCol w:w="1283"/>
      </w:tblGrid>
      <w:tr w:rsidR="0093656E" w:rsidRPr="00CD71E6" w14:paraId="2C56B598" w14:textId="77777777" w:rsidTr="00D21189">
        <w:trPr>
          <w:trHeight w:val="274"/>
        </w:trPr>
        <w:tc>
          <w:tcPr>
            <w:tcW w:w="2947" w:type="dxa"/>
            <w:vMerge w:val="restart"/>
            <w:shd w:val="clear" w:color="auto" w:fill="auto"/>
            <w:vAlign w:val="center"/>
          </w:tcPr>
          <w:p w14:paraId="77151868" w14:textId="77777777" w:rsidR="0093656E" w:rsidRPr="00CD71E6" w:rsidRDefault="0093656E" w:rsidP="00D21189">
            <w:pPr>
              <w:spacing w:after="0" w:line="240" w:lineRule="auto"/>
              <w:rPr>
                <w:b/>
                <w:sz w:val="20"/>
                <w:lang w:val="fr-CA"/>
              </w:rPr>
            </w:pPr>
          </w:p>
        </w:tc>
        <w:tc>
          <w:tcPr>
            <w:tcW w:w="6413" w:type="dxa"/>
            <w:gridSpan w:val="5"/>
            <w:shd w:val="clear" w:color="auto" w:fill="000000" w:themeFill="text1"/>
            <w:vAlign w:val="center"/>
          </w:tcPr>
          <w:p w14:paraId="7F5649B6" w14:textId="77777777" w:rsidR="0093656E" w:rsidRPr="00CD71E6" w:rsidRDefault="0093656E" w:rsidP="00D21189">
            <w:pPr>
              <w:spacing w:after="0" w:line="240" w:lineRule="auto"/>
              <w:jc w:val="center"/>
              <w:rPr>
                <w:b/>
                <w:color w:val="FFFFFF" w:themeColor="background1"/>
                <w:sz w:val="20"/>
                <w:lang w:val="fr-CA"/>
              </w:rPr>
            </w:pPr>
            <w:r w:rsidRPr="00CD71E6">
              <w:rPr>
                <w:b/>
                <w:bCs/>
                <w:color w:val="FFFFFF" w:themeColor="background1"/>
                <w:sz w:val="20"/>
                <w:lang w:val="fr-CA"/>
              </w:rPr>
              <w:t>Cadres supérieurs</w:t>
            </w:r>
          </w:p>
        </w:tc>
      </w:tr>
      <w:tr w:rsidR="0093656E" w:rsidRPr="00CD71E6" w14:paraId="04200597" w14:textId="77777777" w:rsidTr="00D21189">
        <w:trPr>
          <w:trHeight w:val="274"/>
        </w:trPr>
        <w:tc>
          <w:tcPr>
            <w:tcW w:w="2947" w:type="dxa"/>
            <w:vMerge/>
            <w:shd w:val="clear" w:color="auto" w:fill="auto"/>
            <w:vAlign w:val="center"/>
          </w:tcPr>
          <w:p w14:paraId="1581400B" w14:textId="77777777" w:rsidR="0093656E" w:rsidRPr="00CD71E6" w:rsidRDefault="0093656E" w:rsidP="00D21189">
            <w:pPr>
              <w:spacing w:after="0" w:line="240" w:lineRule="auto"/>
              <w:rPr>
                <w:sz w:val="20"/>
                <w:lang w:val="fr-CA"/>
              </w:rPr>
            </w:pPr>
          </w:p>
        </w:tc>
        <w:tc>
          <w:tcPr>
            <w:tcW w:w="1282" w:type="dxa"/>
            <w:shd w:val="clear" w:color="auto" w:fill="000000" w:themeFill="text1"/>
            <w:vAlign w:val="center"/>
          </w:tcPr>
          <w:p w14:paraId="1A82A5D6"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Nombre total de postes</w:t>
            </w:r>
          </w:p>
        </w:tc>
        <w:tc>
          <w:tcPr>
            <w:tcW w:w="1283" w:type="dxa"/>
            <w:shd w:val="clear" w:color="auto" w:fill="000000" w:themeFill="text1"/>
            <w:vAlign w:val="center"/>
          </w:tcPr>
          <w:p w14:paraId="2120D34B" w14:textId="1F2975DA"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Nombre de</w:t>
            </w:r>
            <w:r w:rsidR="00356916">
              <w:rPr>
                <w:rFonts w:cs="Times New Roman"/>
                <w:color w:val="FFFFFF" w:themeColor="background1"/>
                <w:sz w:val="18"/>
                <w:szCs w:val="18"/>
                <w:lang w:val="fr-CA"/>
              </w:rPr>
              <w:t> </w:t>
            </w:r>
            <w:r w:rsidR="00356916" w:rsidRPr="00CD71E6" w:rsidDel="00356916">
              <w:rPr>
                <w:color w:val="FFFFFF" w:themeColor="background1"/>
                <w:sz w:val="18"/>
                <w:szCs w:val="18"/>
                <w:lang w:val="fr-CA"/>
              </w:rPr>
              <w:t xml:space="preserve"> </w:t>
            </w:r>
            <w:r w:rsidRPr="00CD71E6">
              <w:rPr>
                <w:color w:val="FFFFFF" w:themeColor="background1"/>
                <w:sz w:val="18"/>
                <w:szCs w:val="18"/>
                <w:lang w:val="fr-CA"/>
              </w:rPr>
              <w:t>postes pourvus</w:t>
            </w:r>
          </w:p>
        </w:tc>
        <w:tc>
          <w:tcPr>
            <w:tcW w:w="1282" w:type="dxa"/>
            <w:shd w:val="clear" w:color="auto" w:fill="000000" w:themeFill="text1"/>
            <w:vAlign w:val="center"/>
          </w:tcPr>
          <w:p w14:paraId="0356A1D7"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Emplois occupés par des Inuits</w:t>
            </w:r>
          </w:p>
        </w:tc>
        <w:tc>
          <w:tcPr>
            <w:tcW w:w="1283" w:type="dxa"/>
            <w:shd w:val="clear" w:color="auto" w:fill="000000" w:themeFill="text1"/>
            <w:vAlign w:val="center"/>
          </w:tcPr>
          <w:p w14:paraId="2D8B746C"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 EI</w:t>
            </w:r>
          </w:p>
        </w:tc>
        <w:tc>
          <w:tcPr>
            <w:tcW w:w="1283" w:type="dxa"/>
            <w:shd w:val="clear" w:color="auto" w:fill="000000" w:themeFill="text1"/>
            <w:vAlign w:val="center"/>
          </w:tcPr>
          <w:p w14:paraId="59FE195E"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CNP</w:t>
            </w:r>
          </w:p>
        </w:tc>
      </w:tr>
      <w:tr w:rsidR="0093656E" w:rsidRPr="00CD71E6" w14:paraId="6FD2BCA0" w14:textId="77777777" w:rsidTr="00D21189">
        <w:trPr>
          <w:trHeight w:val="288"/>
        </w:trPr>
        <w:tc>
          <w:tcPr>
            <w:tcW w:w="2947" w:type="dxa"/>
            <w:shd w:val="clear" w:color="auto" w:fill="auto"/>
            <w:vAlign w:val="center"/>
          </w:tcPr>
          <w:p w14:paraId="5B832E8C" w14:textId="77777777" w:rsidR="0093656E" w:rsidRPr="00CD71E6" w:rsidRDefault="0093656E" w:rsidP="00D21189">
            <w:pPr>
              <w:spacing w:after="0" w:line="240" w:lineRule="auto"/>
              <w:jc w:val="right"/>
              <w:rPr>
                <w:sz w:val="20"/>
                <w:lang w:val="fr-CA"/>
              </w:rPr>
            </w:pPr>
            <w:r w:rsidRPr="00CD71E6">
              <w:rPr>
                <w:sz w:val="20"/>
                <w:lang w:val="fr-CA"/>
              </w:rPr>
              <w:t>Doyens</w:t>
            </w:r>
          </w:p>
        </w:tc>
        <w:tc>
          <w:tcPr>
            <w:tcW w:w="1282" w:type="dxa"/>
            <w:vAlign w:val="center"/>
          </w:tcPr>
          <w:p w14:paraId="529D8FA5" w14:textId="77777777" w:rsidR="0093656E" w:rsidRPr="00CD71E6" w:rsidRDefault="0093656E" w:rsidP="00D21189">
            <w:pPr>
              <w:spacing w:after="0" w:line="240" w:lineRule="auto"/>
              <w:jc w:val="center"/>
              <w:rPr>
                <w:sz w:val="20"/>
                <w:lang w:val="fr-CA"/>
              </w:rPr>
            </w:pPr>
            <w:r w:rsidRPr="00CD71E6">
              <w:rPr>
                <w:sz w:val="20"/>
                <w:lang w:val="fr-CA"/>
              </w:rPr>
              <w:t>3,00</w:t>
            </w:r>
          </w:p>
        </w:tc>
        <w:tc>
          <w:tcPr>
            <w:tcW w:w="1283" w:type="dxa"/>
            <w:vAlign w:val="center"/>
          </w:tcPr>
          <w:p w14:paraId="019C7E2B" w14:textId="77777777" w:rsidR="0093656E" w:rsidRPr="00CD71E6" w:rsidRDefault="0093656E" w:rsidP="00D21189">
            <w:pPr>
              <w:spacing w:after="0" w:line="240" w:lineRule="auto"/>
              <w:jc w:val="center"/>
              <w:rPr>
                <w:sz w:val="20"/>
                <w:lang w:val="fr-CA"/>
              </w:rPr>
            </w:pPr>
            <w:r w:rsidRPr="00CD71E6">
              <w:rPr>
                <w:sz w:val="20"/>
                <w:lang w:val="fr-CA"/>
              </w:rPr>
              <w:t>3,00</w:t>
            </w:r>
          </w:p>
        </w:tc>
        <w:tc>
          <w:tcPr>
            <w:tcW w:w="1282" w:type="dxa"/>
            <w:vAlign w:val="center"/>
          </w:tcPr>
          <w:p w14:paraId="6BA0E733" w14:textId="77777777" w:rsidR="0093656E" w:rsidRPr="00CD71E6" w:rsidRDefault="0093656E" w:rsidP="00D21189">
            <w:pPr>
              <w:spacing w:after="0" w:line="240" w:lineRule="auto"/>
              <w:jc w:val="center"/>
              <w:rPr>
                <w:sz w:val="20"/>
                <w:lang w:val="fr-CA"/>
              </w:rPr>
            </w:pPr>
            <w:r w:rsidRPr="00CD71E6">
              <w:rPr>
                <w:sz w:val="20"/>
                <w:lang w:val="fr-CA"/>
              </w:rPr>
              <w:t>2,00</w:t>
            </w:r>
          </w:p>
        </w:tc>
        <w:tc>
          <w:tcPr>
            <w:tcW w:w="1283" w:type="dxa"/>
            <w:vAlign w:val="center"/>
          </w:tcPr>
          <w:p w14:paraId="16D2767C" w14:textId="77777777" w:rsidR="0093656E" w:rsidRPr="00CD71E6" w:rsidRDefault="0093656E" w:rsidP="00D21189">
            <w:pPr>
              <w:spacing w:after="0" w:line="240" w:lineRule="auto"/>
              <w:jc w:val="center"/>
              <w:rPr>
                <w:sz w:val="20"/>
                <w:lang w:val="fr-CA"/>
              </w:rPr>
            </w:pPr>
            <w:r w:rsidRPr="00CD71E6">
              <w:rPr>
                <w:sz w:val="20"/>
                <w:lang w:val="fr-CA"/>
              </w:rPr>
              <w:t>66 %</w:t>
            </w:r>
          </w:p>
        </w:tc>
        <w:tc>
          <w:tcPr>
            <w:tcW w:w="1283" w:type="dxa"/>
            <w:vAlign w:val="center"/>
          </w:tcPr>
          <w:p w14:paraId="231821BB" w14:textId="56B48987" w:rsidR="0093656E" w:rsidRPr="00CD71E6" w:rsidRDefault="0093656E" w:rsidP="00D21189">
            <w:pPr>
              <w:spacing w:after="0" w:line="240" w:lineRule="auto"/>
              <w:jc w:val="center"/>
              <w:rPr>
                <w:sz w:val="20"/>
                <w:lang w:val="fr-CA"/>
              </w:rPr>
            </w:pPr>
            <w:r w:rsidRPr="00CD71E6">
              <w:rPr>
                <w:sz w:val="20"/>
                <w:lang w:val="fr-CA"/>
              </w:rPr>
              <w:t>0421</w:t>
            </w:r>
          </w:p>
        </w:tc>
      </w:tr>
      <w:tr w:rsidR="0093656E" w:rsidRPr="00CD71E6" w14:paraId="25030CCB" w14:textId="77777777" w:rsidTr="00D21189">
        <w:trPr>
          <w:trHeight w:val="288"/>
        </w:trPr>
        <w:tc>
          <w:tcPr>
            <w:tcW w:w="2947" w:type="dxa"/>
            <w:tcBorders>
              <w:top w:val="single" w:sz="12" w:space="0" w:color="auto"/>
              <w:bottom w:val="single" w:sz="12" w:space="0" w:color="auto"/>
            </w:tcBorders>
            <w:shd w:val="clear" w:color="auto" w:fill="auto"/>
            <w:vAlign w:val="center"/>
          </w:tcPr>
          <w:p w14:paraId="029B4116" w14:textId="77777777" w:rsidR="0093656E" w:rsidRPr="00CD71E6" w:rsidRDefault="0093656E" w:rsidP="00D21189">
            <w:pPr>
              <w:spacing w:after="0" w:line="240" w:lineRule="auto"/>
              <w:jc w:val="right"/>
              <w:rPr>
                <w:b/>
                <w:sz w:val="20"/>
                <w:lang w:val="fr-CA"/>
              </w:rPr>
            </w:pPr>
            <w:r w:rsidRPr="00CD71E6">
              <w:rPr>
                <w:b/>
                <w:bCs/>
                <w:sz w:val="20"/>
                <w:lang w:val="fr-CA"/>
              </w:rPr>
              <w:t>Nombre total de postes</w:t>
            </w:r>
          </w:p>
        </w:tc>
        <w:tc>
          <w:tcPr>
            <w:tcW w:w="1282" w:type="dxa"/>
            <w:tcBorders>
              <w:top w:val="single" w:sz="12" w:space="0" w:color="auto"/>
              <w:bottom w:val="single" w:sz="12" w:space="0" w:color="auto"/>
            </w:tcBorders>
            <w:vAlign w:val="center"/>
          </w:tcPr>
          <w:p w14:paraId="191C9F51" w14:textId="77777777" w:rsidR="0093656E" w:rsidRPr="00CD71E6" w:rsidRDefault="0093656E" w:rsidP="00D21189">
            <w:pPr>
              <w:spacing w:after="0" w:line="240" w:lineRule="auto"/>
              <w:jc w:val="center"/>
              <w:rPr>
                <w:b/>
                <w:sz w:val="20"/>
                <w:lang w:val="fr-CA"/>
              </w:rPr>
            </w:pPr>
            <w:r w:rsidRPr="00CD71E6">
              <w:rPr>
                <w:b/>
                <w:bCs/>
                <w:sz w:val="20"/>
                <w:lang w:val="fr-CA"/>
              </w:rPr>
              <w:t>3,00</w:t>
            </w:r>
          </w:p>
        </w:tc>
        <w:tc>
          <w:tcPr>
            <w:tcW w:w="1283" w:type="dxa"/>
            <w:tcBorders>
              <w:top w:val="single" w:sz="12" w:space="0" w:color="auto"/>
              <w:bottom w:val="single" w:sz="12" w:space="0" w:color="auto"/>
            </w:tcBorders>
            <w:vAlign w:val="center"/>
          </w:tcPr>
          <w:p w14:paraId="7A18B45A" w14:textId="77777777" w:rsidR="0093656E" w:rsidRPr="00CD71E6" w:rsidRDefault="0093656E" w:rsidP="00D21189">
            <w:pPr>
              <w:spacing w:after="0" w:line="240" w:lineRule="auto"/>
              <w:jc w:val="center"/>
              <w:rPr>
                <w:b/>
                <w:sz w:val="20"/>
                <w:lang w:val="fr-CA"/>
              </w:rPr>
            </w:pPr>
            <w:r w:rsidRPr="00CD71E6">
              <w:rPr>
                <w:b/>
                <w:bCs/>
                <w:sz w:val="20"/>
                <w:lang w:val="fr-CA"/>
              </w:rPr>
              <w:t>3,00</w:t>
            </w:r>
          </w:p>
        </w:tc>
        <w:tc>
          <w:tcPr>
            <w:tcW w:w="1282" w:type="dxa"/>
            <w:tcBorders>
              <w:top w:val="single" w:sz="12" w:space="0" w:color="auto"/>
              <w:bottom w:val="single" w:sz="12" w:space="0" w:color="auto"/>
            </w:tcBorders>
            <w:vAlign w:val="center"/>
          </w:tcPr>
          <w:p w14:paraId="20CBCDF1" w14:textId="77777777" w:rsidR="0093656E" w:rsidRPr="00CD71E6" w:rsidRDefault="0093656E" w:rsidP="00D21189">
            <w:pPr>
              <w:spacing w:after="0" w:line="240" w:lineRule="auto"/>
              <w:jc w:val="center"/>
              <w:rPr>
                <w:b/>
                <w:sz w:val="20"/>
                <w:lang w:val="fr-CA"/>
              </w:rPr>
            </w:pPr>
            <w:r w:rsidRPr="00CD71E6">
              <w:rPr>
                <w:b/>
                <w:bCs/>
                <w:sz w:val="20"/>
                <w:lang w:val="fr-CA"/>
              </w:rPr>
              <w:t>2,00</w:t>
            </w:r>
          </w:p>
        </w:tc>
        <w:tc>
          <w:tcPr>
            <w:tcW w:w="1283" w:type="dxa"/>
            <w:tcBorders>
              <w:top w:val="single" w:sz="12" w:space="0" w:color="auto"/>
              <w:bottom w:val="single" w:sz="12" w:space="0" w:color="auto"/>
            </w:tcBorders>
            <w:vAlign w:val="center"/>
          </w:tcPr>
          <w:p w14:paraId="45A869F2" w14:textId="77777777" w:rsidR="0093656E" w:rsidRPr="00CD71E6" w:rsidRDefault="0093656E" w:rsidP="00D21189">
            <w:pPr>
              <w:spacing w:after="0" w:line="240" w:lineRule="auto"/>
              <w:jc w:val="center"/>
              <w:rPr>
                <w:b/>
                <w:sz w:val="20"/>
                <w:lang w:val="fr-CA"/>
              </w:rPr>
            </w:pPr>
            <w:r w:rsidRPr="00CD71E6">
              <w:rPr>
                <w:b/>
                <w:bCs/>
                <w:sz w:val="20"/>
                <w:lang w:val="fr-CA"/>
              </w:rPr>
              <w:t>66 %</w:t>
            </w:r>
          </w:p>
        </w:tc>
        <w:tc>
          <w:tcPr>
            <w:tcW w:w="1283" w:type="dxa"/>
            <w:tcBorders>
              <w:top w:val="single" w:sz="12" w:space="0" w:color="auto"/>
              <w:bottom w:val="single" w:sz="12" w:space="0" w:color="auto"/>
            </w:tcBorders>
            <w:vAlign w:val="center"/>
          </w:tcPr>
          <w:p w14:paraId="68F5491F" w14:textId="77777777" w:rsidR="0093656E" w:rsidRPr="00CD71E6" w:rsidRDefault="0093656E" w:rsidP="00D21189">
            <w:pPr>
              <w:spacing w:after="0" w:line="240" w:lineRule="auto"/>
              <w:jc w:val="center"/>
              <w:rPr>
                <w:b/>
                <w:sz w:val="20"/>
                <w:lang w:val="fr-CA"/>
              </w:rPr>
            </w:pPr>
          </w:p>
        </w:tc>
      </w:tr>
    </w:tbl>
    <w:p w14:paraId="010E9C1F" w14:textId="670CEABD" w:rsidR="0093656E" w:rsidRPr="00CD71E6" w:rsidRDefault="0093656E" w:rsidP="00D41EEB">
      <w:pPr>
        <w:jc w:val="right"/>
        <w:rPr>
          <w:sz w:val="18"/>
          <w:szCs w:val="18"/>
          <w:lang w:val="fr-CA"/>
        </w:rPr>
      </w:pPr>
      <w:r w:rsidRPr="00CD71E6">
        <w:rPr>
          <w:sz w:val="18"/>
          <w:szCs w:val="18"/>
          <w:lang w:val="fr-CA"/>
        </w:rPr>
        <w:t>Au 31 mars 2018</w:t>
      </w:r>
    </w:p>
    <w:p w14:paraId="39294542" w14:textId="77777777" w:rsidR="0093656E" w:rsidRPr="00CD71E6" w:rsidRDefault="0093656E" w:rsidP="0093656E">
      <w:pPr>
        <w:pStyle w:val="Heading3"/>
        <w:jc w:val="both"/>
        <w:rPr>
          <w:lang w:val="fr-CA"/>
        </w:rPr>
      </w:pPr>
      <w:bookmarkStart w:id="49" w:name="_Toc41053705"/>
      <w:r w:rsidRPr="00CD71E6">
        <w:rPr>
          <w:bCs/>
          <w:lang w:val="fr-CA"/>
        </w:rPr>
        <w:t>Embauchage des Inuits comme cadres intermédiaires</w:t>
      </w:r>
      <w:bookmarkEnd w:id="49"/>
    </w:p>
    <w:p w14:paraId="4EE0D3F5" w14:textId="149AF062" w:rsidR="006E0989" w:rsidRPr="00CD71E6" w:rsidRDefault="0093656E" w:rsidP="006E0989">
      <w:pPr>
        <w:autoSpaceDE w:val="0"/>
        <w:autoSpaceDN w:val="0"/>
        <w:adjustRightInd w:val="0"/>
        <w:rPr>
          <w:rFonts w:cs="Calibri"/>
          <w:color w:val="000000"/>
          <w:kern w:val="0"/>
          <w:szCs w:val="22"/>
          <w:lang w:val="fr-CA"/>
        </w:rPr>
      </w:pPr>
      <w:r w:rsidRPr="00CD71E6">
        <w:rPr>
          <w:rFonts w:cs="Calibri"/>
          <w:color w:val="000000"/>
          <w:kern w:val="0"/>
          <w:szCs w:val="22"/>
          <w:lang w:val="fr-CA"/>
        </w:rPr>
        <w:t>Pour la catégorie d’emploi des cadres intermédiaires, le Collège a relevé un total de 15,00 postes ETP pour l’embauchage potentiel d’Inuits. Des 15,00 postes ETP, 13,00 postes ETP ont été pourvus, et 5,</w:t>
      </w:r>
      <w:r w:rsidR="00AE7BCC" w:rsidRPr="00CD71E6">
        <w:rPr>
          <w:rFonts w:cs="Calibri"/>
          <w:color w:val="000000"/>
          <w:kern w:val="0"/>
          <w:szCs w:val="22"/>
          <w:lang w:val="fr-CA"/>
        </w:rPr>
        <w:t>00</w:t>
      </w:r>
      <w:r w:rsidR="00AE7BCC">
        <w:rPr>
          <w:rFonts w:cs="Calibri"/>
          <w:color w:val="000000"/>
          <w:kern w:val="0"/>
          <w:szCs w:val="22"/>
          <w:lang w:val="fr-CA"/>
        </w:rPr>
        <w:t> </w:t>
      </w:r>
      <w:r w:rsidRPr="00CD71E6">
        <w:rPr>
          <w:rFonts w:cs="Calibri"/>
          <w:color w:val="000000"/>
          <w:kern w:val="0"/>
          <w:szCs w:val="22"/>
          <w:lang w:val="fr-CA"/>
        </w:rPr>
        <w:t xml:space="preserve">postes ETP l’ont été par des Inuits. </w:t>
      </w:r>
    </w:p>
    <w:p w14:paraId="7F52D5C8" w14:textId="22302EA1" w:rsidR="0093656E" w:rsidRPr="00CD71E6" w:rsidRDefault="0093656E" w:rsidP="006E0989">
      <w:pPr>
        <w:autoSpaceDE w:val="0"/>
        <w:autoSpaceDN w:val="0"/>
        <w:adjustRightInd w:val="0"/>
        <w:rPr>
          <w:rFonts w:cs="Calibri"/>
          <w:color w:val="000000"/>
          <w:kern w:val="0"/>
          <w:szCs w:val="22"/>
          <w:lang w:val="fr-CA"/>
        </w:rPr>
      </w:pPr>
      <w:r w:rsidRPr="00CD71E6">
        <w:rPr>
          <w:rFonts w:cs="Calibri"/>
          <w:color w:val="000000"/>
          <w:kern w:val="0"/>
          <w:szCs w:val="22"/>
          <w:lang w:val="fr-CA"/>
        </w:rPr>
        <w:t>Le taux d’embauchage des Inuits demeure bas dans cette catégorie en raison de la difficulté de trouver des candidats ayant le niveau de scolarité exigé et une expérience de travail pertinente.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1282"/>
        <w:gridCol w:w="1283"/>
        <w:gridCol w:w="1282"/>
        <w:gridCol w:w="1283"/>
        <w:gridCol w:w="1283"/>
      </w:tblGrid>
      <w:tr w:rsidR="0093656E" w:rsidRPr="00CD71E6" w14:paraId="1579E589" w14:textId="77777777" w:rsidTr="00D21189">
        <w:trPr>
          <w:trHeight w:val="274"/>
        </w:trPr>
        <w:tc>
          <w:tcPr>
            <w:tcW w:w="2947" w:type="dxa"/>
            <w:vMerge w:val="restart"/>
            <w:shd w:val="clear" w:color="auto" w:fill="auto"/>
            <w:vAlign w:val="center"/>
          </w:tcPr>
          <w:p w14:paraId="630CB3E0" w14:textId="77777777" w:rsidR="0093656E" w:rsidRPr="00CD71E6" w:rsidRDefault="0093656E" w:rsidP="00D21189">
            <w:pPr>
              <w:spacing w:after="0" w:line="240" w:lineRule="auto"/>
              <w:rPr>
                <w:b/>
                <w:sz w:val="20"/>
                <w:lang w:val="fr-CA"/>
              </w:rPr>
            </w:pPr>
          </w:p>
        </w:tc>
        <w:tc>
          <w:tcPr>
            <w:tcW w:w="6413" w:type="dxa"/>
            <w:gridSpan w:val="5"/>
            <w:shd w:val="clear" w:color="auto" w:fill="000000" w:themeFill="text1"/>
            <w:vAlign w:val="center"/>
          </w:tcPr>
          <w:p w14:paraId="795D9068" w14:textId="77777777" w:rsidR="0093656E" w:rsidRPr="00CD71E6" w:rsidRDefault="0093656E" w:rsidP="00D21189">
            <w:pPr>
              <w:spacing w:after="0" w:line="240" w:lineRule="auto"/>
              <w:jc w:val="center"/>
              <w:rPr>
                <w:b/>
                <w:color w:val="FFFFFF" w:themeColor="background1"/>
                <w:sz w:val="20"/>
                <w:lang w:val="fr-CA"/>
              </w:rPr>
            </w:pPr>
            <w:r w:rsidRPr="00CD71E6">
              <w:rPr>
                <w:b/>
                <w:bCs/>
                <w:color w:val="FFFFFF" w:themeColor="background1"/>
                <w:sz w:val="20"/>
                <w:lang w:val="fr-CA"/>
              </w:rPr>
              <w:t>Cadres intermédiaires</w:t>
            </w:r>
          </w:p>
        </w:tc>
      </w:tr>
      <w:tr w:rsidR="0093656E" w:rsidRPr="00CD71E6" w14:paraId="46DE887F" w14:textId="77777777" w:rsidTr="00D21189">
        <w:trPr>
          <w:trHeight w:val="274"/>
        </w:trPr>
        <w:tc>
          <w:tcPr>
            <w:tcW w:w="2947" w:type="dxa"/>
            <w:vMerge/>
            <w:shd w:val="clear" w:color="auto" w:fill="auto"/>
            <w:vAlign w:val="center"/>
          </w:tcPr>
          <w:p w14:paraId="00678713" w14:textId="77777777" w:rsidR="0093656E" w:rsidRPr="00CD71E6" w:rsidRDefault="0093656E" w:rsidP="00D21189">
            <w:pPr>
              <w:spacing w:after="0" w:line="240" w:lineRule="auto"/>
              <w:rPr>
                <w:sz w:val="20"/>
                <w:lang w:val="fr-CA"/>
              </w:rPr>
            </w:pPr>
          </w:p>
        </w:tc>
        <w:tc>
          <w:tcPr>
            <w:tcW w:w="1282" w:type="dxa"/>
            <w:shd w:val="clear" w:color="auto" w:fill="000000" w:themeFill="text1"/>
            <w:vAlign w:val="center"/>
          </w:tcPr>
          <w:p w14:paraId="1EB59043"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Nombre total de postes</w:t>
            </w:r>
          </w:p>
        </w:tc>
        <w:tc>
          <w:tcPr>
            <w:tcW w:w="1283" w:type="dxa"/>
            <w:shd w:val="clear" w:color="auto" w:fill="000000" w:themeFill="text1"/>
            <w:vAlign w:val="center"/>
          </w:tcPr>
          <w:p w14:paraId="366C2233" w14:textId="1704ACB5"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Nombre de</w:t>
            </w:r>
            <w:r w:rsidR="00356916">
              <w:rPr>
                <w:rFonts w:cs="Times New Roman"/>
                <w:color w:val="FFFFFF" w:themeColor="background1"/>
                <w:sz w:val="18"/>
                <w:szCs w:val="18"/>
                <w:lang w:val="fr-CA"/>
              </w:rPr>
              <w:t> </w:t>
            </w:r>
            <w:r w:rsidR="00356916" w:rsidRPr="00CD71E6" w:rsidDel="00356916">
              <w:rPr>
                <w:color w:val="FFFFFF" w:themeColor="background1"/>
                <w:sz w:val="18"/>
                <w:szCs w:val="18"/>
                <w:lang w:val="fr-CA"/>
              </w:rPr>
              <w:t xml:space="preserve"> </w:t>
            </w:r>
            <w:r w:rsidRPr="00CD71E6">
              <w:rPr>
                <w:color w:val="FFFFFF" w:themeColor="background1"/>
                <w:sz w:val="18"/>
                <w:szCs w:val="18"/>
                <w:lang w:val="fr-CA"/>
              </w:rPr>
              <w:t>postes pourvus</w:t>
            </w:r>
          </w:p>
        </w:tc>
        <w:tc>
          <w:tcPr>
            <w:tcW w:w="1282" w:type="dxa"/>
            <w:shd w:val="clear" w:color="auto" w:fill="000000" w:themeFill="text1"/>
            <w:vAlign w:val="center"/>
          </w:tcPr>
          <w:p w14:paraId="6D68C7CE"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Emplois occupés par des Inuits</w:t>
            </w:r>
          </w:p>
        </w:tc>
        <w:tc>
          <w:tcPr>
            <w:tcW w:w="1283" w:type="dxa"/>
            <w:shd w:val="clear" w:color="auto" w:fill="000000" w:themeFill="text1"/>
            <w:vAlign w:val="center"/>
          </w:tcPr>
          <w:p w14:paraId="67C61C66"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 EI</w:t>
            </w:r>
          </w:p>
        </w:tc>
        <w:tc>
          <w:tcPr>
            <w:tcW w:w="1283" w:type="dxa"/>
            <w:shd w:val="clear" w:color="auto" w:fill="000000" w:themeFill="text1"/>
            <w:vAlign w:val="center"/>
          </w:tcPr>
          <w:p w14:paraId="363C6AEB"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CNP</w:t>
            </w:r>
          </w:p>
        </w:tc>
      </w:tr>
      <w:tr w:rsidR="0093656E" w:rsidRPr="00CD71E6" w14:paraId="2CDE52D5" w14:textId="77777777" w:rsidTr="00D21189">
        <w:trPr>
          <w:trHeight w:val="288"/>
        </w:trPr>
        <w:tc>
          <w:tcPr>
            <w:tcW w:w="2947" w:type="dxa"/>
            <w:shd w:val="clear" w:color="auto" w:fill="auto"/>
            <w:vAlign w:val="center"/>
          </w:tcPr>
          <w:p w14:paraId="622742C8" w14:textId="67A60374" w:rsidR="0093656E" w:rsidRPr="00CD71E6" w:rsidRDefault="00A6528C" w:rsidP="00D21189">
            <w:pPr>
              <w:spacing w:after="0" w:line="240" w:lineRule="auto"/>
              <w:jc w:val="right"/>
              <w:rPr>
                <w:sz w:val="20"/>
                <w:lang w:val="fr-CA"/>
              </w:rPr>
            </w:pPr>
            <w:r w:rsidRPr="00CD71E6">
              <w:rPr>
                <w:sz w:val="20"/>
                <w:lang w:val="fr-CA"/>
              </w:rPr>
              <w:t>Postes spécialisés</w:t>
            </w:r>
          </w:p>
        </w:tc>
        <w:tc>
          <w:tcPr>
            <w:tcW w:w="1282" w:type="dxa"/>
            <w:vAlign w:val="center"/>
          </w:tcPr>
          <w:p w14:paraId="1739D9E9" w14:textId="56CAF419" w:rsidR="0093656E" w:rsidRPr="00CD71E6" w:rsidRDefault="00A6528C" w:rsidP="00D21189">
            <w:pPr>
              <w:spacing w:after="0" w:line="240" w:lineRule="auto"/>
              <w:jc w:val="center"/>
              <w:rPr>
                <w:sz w:val="20"/>
                <w:lang w:val="fr-CA"/>
              </w:rPr>
            </w:pPr>
            <w:r w:rsidRPr="00CD71E6">
              <w:rPr>
                <w:sz w:val="20"/>
                <w:lang w:val="fr-CA"/>
              </w:rPr>
              <w:t>3,00</w:t>
            </w:r>
          </w:p>
        </w:tc>
        <w:tc>
          <w:tcPr>
            <w:tcW w:w="1283" w:type="dxa"/>
            <w:vAlign w:val="center"/>
          </w:tcPr>
          <w:p w14:paraId="21697EA9" w14:textId="052C1E34" w:rsidR="0093656E" w:rsidRPr="00CD71E6" w:rsidRDefault="00A6528C" w:rsidP="00D21189">
            <w:pPr>
              <w:spacing w:after="0" w:line="240" w:lineRule="auto"/>
              <w:jc w:val="center"/>
              <w:rPr>
                <w:sz w:val="20"/>
                <w:lang w:val="fr-CA"/>
              </w:rPr>
            </w:pPr>
            <w:r w:rsidRPr="00CD71E6">
              <w:rPr>
                <w:sz w:val="20"/>
                <w:lang w:val="fr-CA"/>
              </w:rPr>
              <w:t>3,00</w:t>
            </w:r>
          </w:p>
        </w:tc>
        <w:tc>
          <w:tcPr>
            <w:tcW w:w="1282" w:type="dxa"/>
            <w:vAlign w:val="center"/>
          </w:tcPr>
          <w:p w14:paraId="672CEA04" w14:textId="77777777" w:rsidR="0093656E" w:rsidRPr="00CD71E6" w:rsidRDefault="0093656E" w:rsidP="00D21189">
            <w:pPr>
              <w:spacing w:after="0" w:line="240" w:lineRule="auto"/>
              <w:jc w:val="center"/>
              <w:rPr>
                <w:sz w:val="20"/>
                <w:lang w:val="fr-CA"/>
              </w:rPr>
            </w:pPr>
            <w:r w:rsidRPr="00CD71E6">
              <w:rPr>
                <w:sz w:val="20"/>
                <w:lang w:val="fr-CA"/>
              </w:rPr>
              <w:t>0,00</w:t>
            </w:r>
          </w:p>
        </w:tc>
        <w:tc>
          <w:tcPr>
            <w:tcW w:w="1283" w:type="dxa"/>
            <w:vAlign w:val="center"/>
          </w:tcPr>
          <w:p w14:paraId="411A8660" w14:textId="77777777" w:rsidR="0093656E" w:rsidRPr="00CD71E6" w:rsidRDefault="0093656E" w:rsidP="00D21189">
            <w:pPr>
              <w:spacing w:after="0" w:line="240" w:lineRule="auto"/>
              <w:jc w:val="center"/>
              <w:rPr>
                <w:sz w:val="20"/>
                <w:lang w:val="fr-CA"/>
              </w:rPr>
            </w:pPr>
            <w:r w:rsidRPr="00CD71E6">
              <w:rPr>
                <w:sz w:val="20"/>
                <w:lang w:val="fr-CA"/>
              </w:rPr>
              <w:t>0 %</w:t>
            </w:r>
          </w:p>
        </w:tc>
        <w:tc>
          <w:tcPr>
            <w:tcW w:w="1283" w:type="dxa"/>
            <w:vAlign w:val="center"/>
          </w:tcPr>
          <w:p w14:paraId="31A1F26F" w14:textId="1E1F27F9" w:rsidR="0093656E" w:rsidRPr="00CD71E6" w:rsidRDefault="00B16620" w:rsidP="00D21189">
            <w:pPr>
              <w:spacing w:after="0" w:line="240" w:lineRule="auto"/>
              <w:jc w:val="center"/>
              <w:rPr>
                <w:sz w:val="20"/>
                <w:lang w:val="fr-CA"/>
              </w:rPr>
            </w:pPr>
            <w:r w:rsidRPr="00CD71E6">
              <w:rPr>
                <w:sz w:val="20"/>
                <w:lang w:val="fr-CA"/>
              </w:rPr>
              <w:t>0421</w:t>
            </w:r>
          </w:p>
        </w:tc>
      </w:tr>
      <w:tr w:rsidR="0093656E" w:rsidRPr="00CD71E6" w14:paraId="0EFA913F" w14:textId="77777777" w:rsidTr="00D21189">
        <w:trPr>
          <w:trHeight w:val="288"/>
        </w:trPr>
        <w:tc>
          <w:tcPr>
            <w:tcW w:w="2947" w:type="dxa"/>
            <w:shd w:val="clear" w:color="auto" w:fill="auto"/>
            <w:vAlign w:val="center"/>
          </w:tcPr>
          <w:p w14:paraId="4A5DC1BD" w14:textId="2B613238" w:rsidR="0093656E" w:rsidRPr="00CD71E6" w:rsidRDefault="00114526" w:rsidP="00D21189">
            <w:pPr>
              <w:spacing w:after="0" w:line="240" w:lineRule="auto"/>
              <w:jc w:val="right"/>
              <w:rPr>
                <w:sz w:val="20"/>
                <w:lang w:val="fr-CA"/>
              </w:rPr>
            </w:pPr>
            <w:r w:rsidRPr="00CD71E6">
              <w:rPr>
                <w:sz w:val="20"/>
                <w:lang w:val="fr-CA"/>
              </w:rPr>
              <w:t>Directeurs (présidents)</w:t>
            </w:r>
          </w:p>
        </w:tc>
        <w:tc>
          <w:tcPr>
            <w:tcW w:w="1282" w:type="dxa"/>
            <w:vAlign w:val="center"/>
          </w:tcPr>
          <w:p w14:paraId="09DE5DBC" w14:textId="33939A4A" w:rsidR="0093656E" w:rsidRPr="00CD71E6" w:rsidRDefault="00760AC7" w:rsidP="00D21189">
            <w:pPr>
              <w:spacing w:after="0" w:line="240" w:lineRule="auto"/>
              <w:jc w:val="center"/>
              <w:rPr>
                <w:sz w:val="20"/>
                <w:lang w:val="fr-CA"/>
              </w:rPr>
            </w:pPr>
            <w:r w:rsidRPr="00CD71E6">
              <w:rPr>
                <w:sz w:val="20"/>
                <w:lang w:val="fr-CA"/>
              </w:rPr>
              <w:t>8,00</w:t>
            </w:r>
          </w:p>
        </w:tc>
        <w:tc>
          <w:tcPr>
            <w:tcW w:w="1283" w:type="dxa"/>
            <w:vAlign w:val="center"/>
          </w:tcPr>
          <w:p w14:paraId="32BEA241" w14:textId="4092CE0B" w:rsidR="0093656E" w:rsidRPr="00CD71E6" w:rsidRDefault="00166C35" w:rsidP="00D21189">
            <w:pPr>
              <w:spacing w:after="0" w:line="240" w:lineRule="auto"/>
              <w:jc w:val="center"/>
              <w:rPr>
                <w:sz w:val="20"/>
                <w:lang w:val="fr-CA"/>
              </w:rPr>
            </w:pPr>
            <w:r w:rsidRPr="00CD71E6">
              <w:rPr>
                <w:sz w:val="20"/>
                <w:lang w:val="fr-CA"/>
              </w:rPr>
              <w:t>6,00</w:t>
            </w:r>
          </w:p>
        </w:tc>
        <w:tc>
          <w:tcPr>
            <w:tcW w:w="1282" w:type="dxa"/>
            <w:vAlign w:val="center"/>
          </w:tcPr>
          <w:p w14:paraId="566370DA" w14:textId="5BA7FB4E" w:rsidR="0093656E" w:rsidRPr="00CD71E6" w:rsidRDefault="00166C35" w:rsidP="00D21189">
            <w:pPr>
              <w:spacing w:after="0" w:line="240" w:lineRule="auto"/>
              <w:jc w:val="center"/>
              <w:rPr>
                <w:sz w:val="20"/>
                <w:lang w:val="fr-CA"/>
              </w:rPr>
            </w:pPr>
            <w:r w:rsidRPr="00CD71E6">
              <w:rPr>
                <w:sz w:val="20"/>
                <w:lang w:val="fr-CA"/>
              </w:rPr>
              <w:t>3,00</w:t>
            </w:r>
          </w:p>
        </w:tc>
        <w:tc>
          <w:tcPr>
            <w:tcW w:w="1283" w:type="dxa"/>
            <w:vAlign w:val="center"/>
          </w:tcPr>
          <w:p w14:paraId="3FED41D9" w14:textId="57AFA4E4" w:rsidR="0093656E" w:rsidRPr="00CD71E6" w:rsidRDefault="00166C35" w:rsidP="00D21189">
            <w:pPr>
              <w:spacing w:after="0" w:line="240" w:lineRule="auto"/>
              <w:jc w:val="center"/>
              <w:rPr>
                <w:sz w:val="20"/>
                <w:lang w:val="fr-CA"/>
              </w:rPr>
            </w:pPr>
            <w:r w:rsidRPr="00CD71E6">
              <w:rPr>
                <w:sz w:val="20"/>
                <w:lang w:val="fr-CA"/>
              </w:rPr>
              <w:t>50 %</w:t>
            </w:r>
          </w:p>
        </w:tc>
        <w:tc>
          <w:tcPr>
            <w:tcW w:w="1283" w:type="dxa"/>
            <w:vAlign w:val="center"/>
          </w:tcPr>
          <w:p w14:paraId="0C03F5D5" w14:textId="77777777" w:rsidR="0093656E" w:rsidRPr="00CD71E6" w:rsidRDefault="0093656E" w:rsidP="00D21189">
            <w:pPr>
              <w:spacing w:after="0" w:line="240" w:lineRule="auto"/>
              <w:jc w:val="center"/>
              <w:rPr>
                <w:sz w:val="20"/>
                <w:lang w:val="fr-CA"/>
              </w:rPr>
            </w:pPr>
            <w:r w:rsidRPr="00CD71E6">
              <w:rPr>
                <w:sz w:val="20"/>
                <w:lang w:val="fr-CA"/>
              </w:rPr>
              <w:t>0413</w:t>
            </w:r>
          </w:p>
        </w:tc>
      </w:tr>
      <w:tr w:rsidR="0093656E" w:rsidRPr="00CD71E6" w14:paraId="3F63275E" w14:textId="77777777" w:rsidTr="00D21189">
        <w:trPr>
          <w:trHeight w:val="288"/>
        </w:trPr>
        <w:tc>
          <w:tcPr>
            <w:tcW w:w="2947" w:type="dxa"/>
            <w:shd w:val="clear" w:color="auto" w:fill="auto"/>
            <w:vAlign w:val="center"/>
          </w:tcPr>
          <w:p w14:paraId="3DA2DF73" w14:textId="0914318B" w:rsidR="0093656E" w:rsidRPr="00CD71E6" w:rsidRDefault="00D95834" w:rsidP="00D21189">
            <w:pPr>
              <w:spacing w:after="0" w:line="240" w:lineRule="auto"/>
              <w:jc w:val="right"/>
              <w:rPr>
                <w:sz w:val="20"/>
                <w:lang w:val="fr-CA"/>
              </w:rPr>
            </w:pPr>
            <w:r w:rsidRPr="00CD71E6">
              <w:rPr>
                <w:sz w:val="20"/>
                <w:lang w:val="fr-CA"/>
              </w:rPr>
              <w:t>Différents postes de gestion</w:t>
            </w:r>
          </w:p>
        </w:tc>
        <w:tc>
          <w:tcPr>
            <w:tcW w:w="1282" w:type="dxa"/>
            <w:vAlign w:val="center"/>
          </w:tcPr>
          <w:p w14:paraId="2C631625" w14:textId="1B417F48" w:rsidR="0093656E" w:rsidRPr="00CD71E6" w:rsidRDefault="005E66B6" w:rsidP="00D21189">
            <w:pPr>
              <w:spacing w:after="0" w:line="240" w:lineRule="auto"/>
              <w:jc w:val="center"/>
              <w:rPr>
                <w:sz w:val="20"/>
                <w:lang w:val="fr-CA"/>
              </w:rPr>
            </w:pPr>
            <w:r w:rsidRPr="00CD71E6">
              <w:rPr>
                <w:sz w:val="20"/>
                <w:lang w:val="fr-CA"/>
              </w:rPr>
              <w:t>4</w:t>
            </w:r>
            <w:r w:rsidR="009A742D">
              <w:rPr>
                <w:sz w:val="20"/>
                <w:lang w:val="fr-CA"/>
              </w:rPr>
              <w:t>,00</w:t>
            </w:r>
          </w:p>
        </w:tc>
        <w:tc>
          <w:tcPr>
            <w:tcW w:w="1283" w:type="dxa"/>
            <w:vAlign w:val="center"/>
          </w:tcPr>
          <w:p w14:paraId="70555B56" w14:textId="561F51AE" w:rsidR="0093656E" w:rsidRPr="00CD71E6" w:rsidRDefault="00833F3A" w:rsidP="00D21189">
            <w:pPr>
              <w:spacing w:after="0" w:line="240" w:lineRule="auto"/>
              <w:jc w:val="center"/>
              <w:rPr>
                <w:sz w:val="20"/>
                <w:lang w:val="fr-CA"/>
              </w:rPr>
            </w:pPr>
            <w:r w:rsidRPr="00CD71E6">
              <w:rPr>
                <w:sz w:val="20"/>
                <w:lang w:val="fr-CA"/>
              </w:rPr>
              <w:t>4,00</w:t>
            </w:r>
          </w:p>
        </w:tc>
        <w:tc>
          <w:tcPr>
            <w:tcW w:w="1282" w:type="dxa"/>
            <w:vAlign w:val="center"/>
          </w:tcPr>
          <w:p w14:paraId="159DE08A" w14:textId="0A8D6ECF" w:rsidR="0093656E" w:rsidRPr="00CD71E6" w:rsidRDefault="00833F3A" w:rsidP="00D21189">
            <w:pPr>
              <w:spacing w:after="0" w:line="240" w:lineRule="auto"/>
              <w:jc w:val="center"/>
              <w:rPr>
                <w:sz w:val="20"/>
                <w:lang w:val="fr-CA"/>
              </w:rPr>
            </w:pPr>
            <w:r w:rsidRPr="00CD71E6">
              <w:rPr>
                <w:sz w:val="20"/>
                <w:lang w:val="fr-CA"/>
              </w:rPr>
              <w:t>2,00</w:t>
            </w:r>
          </w:p>
        </w:tc>
        <w:tc>
          <w:tcPr>
            <w:tcW w:w="1283" w:type="dxa"/>
            <w:vAlign w:val="center"/>
          </w:tcPr>
          <w:p w14:paraId="64BBCFFE" w14:textId="3D2F6DCC" w:rsidR="0093656E" w:rsidRPr="00CD71E6" w:rsidRDefault="000E7C43" w:rsidP="00D21189">
            <w:pPr>
              <w:spacing w:after="0" w:line="240" w:lineRule="auto"/>
              <w:jc w:val="center"/>
              <w:rPr>
                <w:sz w:val="20"/>
                <w:lang w:val="fr-CA"/>
              </w:rPr>
            </w:pPr>
            <w:r w:rsidRPr="00CD71E6">
              <w:rPr>
                <w:sz w:val="20"/>
                <w:lang w:val="fr-CA"/>
              </w:rPr>
              <w:t>50 %</w:t>
            </w:r>
          </w:p>
        </w:tc>
        <w:tc>
          <w:tcPr>
            <w:tcW w:w="1283" w:type="dxa"/>
            <w:vAlign w:val="center"/>
          </w:tcPr>
          <w:p w14:paraId="14273684" w14:textId="5F93EE2B" w:rsidR="0093656E" w:rsidRPr="00CD71E6" w:rsidRDefault="00B16620" w:rsidP="00D21189">
            <w:pPr>
              <w:spacing w:after="0" w:line="240" w:lineRule="auto"/>
              <w:jc w:val="center"/>
              <w:rPr>
                <w:sz w:val="20"/>
                <w:lang w:val="fr-CA"/>
              </w:rPr>
            </w:pPr>
            <w:r w:rsidRPr="00CD71E6">
              <w:rPr>
                <w:sz w:val="20"/>
                <w:lang w:val="fr-CA"/>
              </w:rPr>
              <w:t>0413</w:t>
            </w:r>
          </w:p>
        </w:tc>
      </w:tr>
      <w:tr w:rsidR="0093656E" w:rsidRPr="00CD71E6" w14:paraId="55AA59EA" w14:textId="77777777" w:rsidTr="00D21189">
        <w:trPr>
          <w:trHeight w:val="288"/>
        </w:trPr>
        <w:tc>
          <w:tcPr>
            <w:tcW w:w="2947" w:type="dxa"/>
            <w:tcBorders>
              <w:top w:val="single" w:sz="12" w:space="0" w:color="auto"/>
              <w:bottom w:val="single" w:sz="12" w:space="0" w:color="auto"/>
            </w:tcBorders>
            <w:shd w:val="clear" w:color="auto" w:fill="auto"/>
            <w:vAlign w:val="center"/>
          </w:tcPr>
          <w:p w14:paraId="3D31BE62" w14:textId="77777777" w:rsidR="0093656E" w:rsidRPr="00CD71E6" w:rsidRDefault="0093656E" w:rsidP="00D21189">
            <w:pPr>
              <w:spacing w:after="0" w:line="240" w:lineRule="auto"/>
              <w:jc w:val="right"/>
              <w:rPr>
                <w:b/>
                <w:sz w:val="20"/>
                <w:lang w:val="fr-CA"/>
              </w:rPr>
            </w:pPr>
            <w:r w:rsidRPr="00CD71E6">
              <w:rPr>
                <w:b/>
                <w:bCs/>
                <w:sz w:val="20"/>
                <w:lang w:val="fr-CA"/>
              </w:rPr>
              <w:t>Nombre total de postes</w:t>
            </w:r>
          </w:p>
        </w:tc>
        <w:tc>
          <w:tcPr>
            <w:tcW w:w="1282" w:type="dxa"/>
            <w:tcBorders>
              <w:top w:val="single" w:sz="12" w:space="0" w:color="auto"/>
              <w:bottom w:val="single" w:sz="12" w:space="0" w:color="auto"/>
            </w:tcBorders>
            <w:vAlign w:val="center"/>
          </w:tcPr>
          <w:p w14:paraId="38618999" w14:textId="6598EEB4" w:rsidR="0093656E" w:rsidRPr="00CD71E6" w:rsidRDefault="0093656E" w:rsidP="00D21189">
            <w:pPr>
              <w:spacing w:after="0" w:line="240" w:lineRule="auto"/>
              <w:jc w:val="center"/>
              <w:rPr>
                <w:b/>
                <w:sz w:val="20"/>
                <w:lang w:val="fr-CA"/>
              </w:rPr>
            </w:pPr>
            <w:r w:rsidRPr="00CD71E6">
              <w:rPr>
                <w:b/>
                <w:bCs/>
                <w:sz w:val="20"/>
                <w:lang w:val="fr-CA"/>
              </w:rPr>
              <w:t>15,00</w:t>
            </w:r>
          </w:p>
        </w:tc>
        <w:tc>
          <w:tcPr>
            <w:tcW w:w="1283" w:type="dxa"/>
            <w:tcBorders>
              <w:top w:val="single" w:sz="12" w:space="0" w:color="auto"/>
              <w:bottom w:val="single" w:sz="12" w:space="0" w:color="auto"/>
            </w:tcBorders>
            <w:vAlign w:val="center"/>
          </w:tcPr>
          <w:p w14:paraId="10E87DD0" w14:textId="23C18A6A" w:rsidR="0093656E" w:rsidRPr="00CD71E6" w:rsidRDefault="0093656E" w:rsidP="00D21189">
            <w:pPr>
              <w:spacing w:after="0" w:line="240" w:lineRule="auto"/>
              <w:jc w:val="center"/>
              <w:rPr>
                <w:b/>
                <w:sz w:val="20"/>
                <w:lang w:val="fr-CA"/>
              </w:rPr>
            </w:pPr>
            <w:r w:rsidRPr="00CD71E6">
              <w:rPr>
                <w:b/>
                <w:bCs/>
                <w:sz w:val="20"/>
                <w:lang w:val="fr-CA"/>
              </w:rPr>
              <w:t>13,00</w:t>
            </w:r>
          </w:p>
        </w:tc>
        <w:tc>
          <w:tcPr>
            <w:tcW w:w="1282" w:type="dxa"/>
            <w:tcBorders>
              <w:top w:val="single" w:sz="12" w:space="0" w:color="auto"/>
              <w:bottom w:val="single" w:sz="12" w:space="0" w:color="auto"/>
            </w:tcBorders>
            <w:vAlign w:val="center"/>
          </w:tcPr>
          <w:p w14:paraId="422F5620" w14:textId="207E39B8" w:rsidR="0093656E" w:rsidRPr="00CD71E6" w:rsidRDefault="000E7C43" w:rsidP="00D21189">
            <w:pPr>
              <w:spacing w:after="0" w:line="240" w:lineRule="auto"/>
              <w:jc w:val="center"/>
              <w:rPr>
                <w:b/>
                <w:sz w:val="20"/>
                <w:lang w:val="fr-CA"/>
              </w:rPr>
            </w:pPr>
            <w:r w:rsidRPr="00CD71E6">
              <w:rPr>
                <w:b/>
                <w:bCs/>
                <w:sz w:val="20"/>
                <w:lang w:val="fr-CA"/>
              </w:rPr>
              <w:t>5,00</w:t>
            </w:r>
          </w:p>
        </w:tc>
        <w:tc>
          <w:tcPr>
            <w:tcW w:w="1283" w:type="dxa"/>
            <w:tcBorders>
              <w:top w:val="single" w:sz="12" w:space="0" w:color="auto"/>
              <w:bottom w:val="single" w:sz="12" w:space="0" w:color="auto"/>
            </w:tcBorders>
            <w:vAlign w:val="center"/>
          </w:tcPr>
          <w:p w14:paraId="2D07E0FE" w14:textId="295A49A4" w:rsidR="0093656E" w:rsidRPr="00CD71E6" w:rsidRDefault="00D6485A" w:rsidP="00D21189">
            <w:pPr>
              <w:spacing w:after="0" w:line="240" w:lineRule="auto"/>
              <w:jc w:val="center"/>
              <w:rPr>
                <w:b/>
                <w:sz w:val="20"/>
                <w:lang w:val="fr-CA"/>
              </w:rPr>
            </w:pPr>
            <w:r w:rsidRPr="00CD71E6">
              <w:rPr>
                <w:b/>
                <w:bCs/>
                <w:sz w:val="20"/>
                <w:lang w:val="fr-CA"/>
              </w:rPr>
              <w:t>38 %</w:t>
            </w:r>
          </w:p>
        </w:tc>
        <w:tc>
          <w:tcPr>
            <w:tcW w:w="1283" w:type="dxa"/>
            <w:tcBorders>
              <w:top w:val="single" w:sz="12" w:space="0" w:color="auto"/>
              <w:bottom w:val="single" w:sz="12" w:space="0" w:color="auto"/>
            </w:tcBorders>
            <w:vAlign w:val="center"/>
          </w:tcPr>
          <w:p w14:paraId="224F422C" w14:textId="77777777" w:rsidR="0093656E" w:rsidRPr="00CD71E6" w:rsidRDefault="0093656E" w:rsidP="00D21189">
            <w:pPr>
              <w:spacing w:after="0" w:line="240" w:lineRule="auto"/>
              <w:jc w:val="center"/>
              <w:rPr>
                <w:b/>
                <w:sz w:val="20"/>
                <w:lang w:val="fr-CA"/>
              </w:rPr>
            </w:pPr>
          </w:p>
        </w:tc>
      </w:tr>
    </w:tbl>
    <w:p w14:paraId="03484E3D" w14:textId="07C7D307" w:rsidR="0093656E" w:rsidRPr="00CD71E6" w:rsidRDefault="0093656E" w:rsidP="00D41EEB">
      <w:pPr>
        <w:jc w:val="right"/>
        <w:rPr>
          <w:sz w:val="18"/>
          <w:szCs w:val="18"/>
          <w:lang w:val="fr-CA"/>
        </w:rPr>
      </w:pPr>
      <w:r w:rsidRPr="00CD71E6">
        <w:rPr>
          <w:sz w:val="18"/>
          <w:szCs w:val="18"/>
          <w:lang w:val="fr-CA"/>
        </w:rPr>
        <w:t>Au 31 mars 2018</w:t>
      </w:r>
    </w:p>
    <w:p w14:paraId="07EE20AD" w14:textId="6403D669" w:rsidR="0093656E" w:rsidRPr="00CD71E6" w:rsidRDefault="0093656E" w:rsidP="0093656E">
      <w:pPr>
        <w:pStyle w:val="Heading3"/>
        <w:jc w:val="both"/>
        <w:rPr>
          <w:lang w:val="fr-CA"/>
        </w:rPr>
      </w:pPr>
      <w:bookmarkStart w:id="50" w:name="_Toc505763743"/>
      <w:bookmarkStart w:id="51" w:name="_Toc41053706"/>
      <w:r w:rsidRPr="00CD71E6">
        <w:rPr>
          <w:bCs/>
          <w:lang w:val="fr-CA"/>
        </w:rPr>
        <w:t>Embauchage des Inuits comme professionnels</w:t>
      </w:r>
      <w:bookmarkEnd w:id="50"/>
      <w:bookmarkEnd w:id="51"/>
    </w:p>
    <w:p w14:paraId="51B438F5" w14:textId="29624BB6" w:rsidR="00DE5535" w:rsidRDefault="0093656E" w:rsidP="00017EB2">
      <w:pPr>
        <w:autoSpaceDE w:val="0"/>
        <w:autoSpaceDN w:val="0"/>
        <w:adjustRightInd w:val="0"/>
        <w:rPr>
          <w:rFonts w:cs="Calibri"/>
          <w:color w:val="000000"/>
          <w:kern w:val="0"/>
          <w:szCs w:val="22"/>
          <w:lang w:val="fr-CA"/>
        </w:rPr>
      </w:pPr>
      <w:r w:rsidRPr="00CD71E6">
        <w:rPr>
          <w:rFonts w:cs="Calibri"/>
          <w:color w:val="000000"/>
          <w:kern w:val="0"/>
          <w:szCs w:val="22"/>
          <w:lang w:val="fr-CA"/>
        </w:rPr>
        <w:t>Pour la catégorie des professionnels, le Collège a relevé un total de 110,10 postes ETP pour l’embauchage potentiel d’Inuits. Des 110,10 postes ETP, 84,00 postes ETP ont été pourvus, et 37,</w:t>
      </w:r>
      <w:r w:rsidR="00AE7BCC" w:rsidRPr="00CD71E6">
        <w:rPr>
          <w:rFonts w:cs="Calibri"/>
          <w:color w:val="000000"/>
          <w:kern w:val="0"/>
          <w:szCs w:val="22"/>
          <w:lang w:val="fr-CA"/>
        </w:rPr>
        <w:t>00</w:t>
      </w:r>
      <w:r w:rsidR="00AE7BCC">
        <w:rPr>
          <w:rFonts w:cs="Calibri"/>
          <w:color w:val="000000"/>
          <w:kern w:val="0"/>
          <w:szCs w:val="22"/>
          <w:lang w:val="fr-CA"/>
        </w:rPr>
        <w:t> </w:t>
      </w:r>
      <w:r w:rsidRPr="00CD71E6">
        <w:rPr>
          <w:rFonts w:cs="Calibri"/>
          <w:color w:val="000000"/>
          <w:kern w:val="0"/>
          <w:szCs w:val="22"/>
          <w:lang w:val="fr-CA"/>
        </w:rPr>
        <w:t xml:space="preserve">postes ETP l’ont été par des Inuits. Les postes ayant les taux d’embauchage des Inuits les plus élevés sont habituellement ceux d’éducateurs d’adultes. Les postes d’enseignants et les postes des niveaux supérieur ou spécialisé représentent des domaines de croissance potentielle pour l’embauchage d’Inuits. </w:t>
      </w:r>
    </w:p>
    <w:p w14:paraId="5F56D16F" w14:textId="77777777" w:rsidR="00DE5535" w:rsidRDefault="00DE5535">
      <w:pPr>
        <w:spacing w:after="200" w:line="276" w:lineRule="auto"/>
        <w:rPr>
          <w:rFonts w:cs="Calibri"/>
          <w:color w:val="000000"/>
          <w:kern w:val="0"/>
          <w:szCs w:val="22"/>
          <w:lang w:val="fr-CA"/>
        </w:rPr>
      </w:pPr>
      <w:r>
        <w:rPr>
          <w:rFonts w:cs="Calibri"/>
          <w:color w:val="000000"/>
          <w:kern w:val="0"/>
          <w:szCs w:val="22"/>
          <w:lang w:val="fr-CA"/>
        </w:rPr>
        <w:br w:type="page"/>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83"/>
        <w:gridCol w:w="42"/>
        <w:gridCol w:w="1241"/>
        <w:gridCol w:w="84"/>
        <w:gridCol w:w="1199"/>
        <w:gridCol w:w="126"/>
        <w:gridCol w:w="1157"/>
        <w:gridCol w:w="168"/>
        <w:gridCol w:w="1115"/>
        <w:gridCol w:w="211"/>
      </w:tblGrid>
      <w:tr w:rsidR="0093656E" w:rsidRPr="00CD71E6" w14:paraId="13CEEE9C" w14:textId="77777777" w:rsidTr="00DA0830">
        <w:trPr>
          <w:gridAfter w:val="1"/>
          <w:wAfter w:w="211" w:type="dxa"/>
          <w:trHeight w:val="274"/>
          <w:tblHeader/>
        </w:trPr>
        <w:tc>
          <w:tcPr>
            <w:tcW w:w="2970" w:type="dxa"/>
            <w:vMerge w:val="restart"/>
            <w:shd w:val="clear" w:color="auto" w:fill="auto"/>
            <w:vAlign w:val="center"/>
          </w:tcPr>
          <w:p w14:paraId="1BB460FE" w14:textId="77777777" w:rsidR="0093656E" w:rsidRPr="00CD71E6" w:rsidRDefault="0093656E" w:rsidP="00D21189">
            <w:pPr>
              <w:spacing w:after="0" w:line="240" w:lineRule="auto"/>
              <w:rPr>
                <w:b/>
                <w:sz w:val="20"/>
                <w:lang w:val="fr-CA"/>
              </w:rPr>
            </w:pPr>
          </w:p>
        </w:tc>
        <w:tc>
          <w:tcPr>
            <w:tcW w:w="6415" w:type="dxa"/>
            <w:gridSpan w:val="9"/>
            <w:shd w:val="clear" w:color="auto" w:fill="000000" w:themeFill="text1"/>
            <w:vAlign w:val="center"/>
          </w:tcPr>
          <w:p w14:paraId="71F9B62E" w14:textId="77777777" w:rsidR="0093656E" w:rsidRPr="00CD71E6" w:rsidRDefault="0093656E" w:rsidP="00D21189">
            <w:pPr>
              <w:spacing w:after="0" w:line="240" w:lineRule="auto"/>
              <w:jc w:val="center"/>
              <w:rPr>
                <w:b/>
                <w:color w:val="FFFFFF" w:themeColor="background1"/>
                <w:sz w:val="20"/>
                <w:lang w:val="fr-CA"/>
              </w:rPr>
            </w:pPr>
            <w:r w:rsidRPr="00CD71E6">
              <w:rPr>
                <w:b/>
                <w:bCs/>
                <w:color w:val="FFFFFF" w:themeColor="background1"/>
                <w:sz w:val="20"/>
                <w:lang w:val="fr-CA"/>
              </w:rPr>
              <w:t>Professionnels</w:t>
            </w:r>
          </w:p>
        </w:tc>
      </w:tr>
      <w:tr w:rsidR="0093656E" w:rsidRPr="00CD71E6" w14:paraId="55399270" w14:textId="77777777" w:rsidTr="00DA0830">
        <w:trPr>
          <w:gridAfter w:val="1"/>
          <w:wAfter w:w="211" w:type="dxa"/>
          <w:trHeight w:val="274"/>
          <w:tblHeader/>
        </w:trPr>
        <w:tc>
          <w:tcPr>
            <w:tcW w:w="2970" w:type="dxa"/>
            <w:vMerge/>
            <w:shd w:val="clear" w:color="auto" w:fill="auto"/>
            <w:vAlign w:val="center"/>
          </w:tcPr>
          <w:p w14:paraId="04A49FBB" w14:textId="77777777" w:rsidR="0093656E" w:rsidRPr="00CD71E6" w:rsidRDefault="0093656E" w:rsidP="00D21189">
            <w:pPr>
              <w:spacing w:after="0" w:line="240" w:lineRule="auto"/>
              <w:rPr>
                <w:sz w:val="20"/>
                <w:lang w:val="fr-CA"/>
              </w:rPr>
            </w:pPr>
          </w:p>
        </w:tc>
        <w:tc>
          <w:tcPr>
            <w:tcW w:w="1283" w:type="dxa"/>
            <w:shd w:val="clear" w:color="auto" w:fill="000000" w:themeFill="text1"/>
            <w:vAlign w:val="center"/>
          </w:tcPr>
          <w:p w14:paraId="3A90803B"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Nombre total de postes</w:t>
            </w:r>
          </w:p>
        </w:tc>
        <w:tc>
          <w:tcPr>
            <w:tcW w:w="1283" w:type="dxa"/>
            <w:gridSpan w:val="2"/>
            <w:shd w:val="clear" w:color="auto" w:fill="000000" w:themeFill="text1"/>
            <w:vAlign w:val="center"/>
          </w:tcPr>
          <w:p w14:paraId="54943338" w14:textId="3AFF422F"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Nombre de</w:t>
            </w:r>
            <w:r w:rsidR="00356916">
              <w:rPr>
                <w:rFonts w:cs="Times New Roman"/>
                <w:color w:val="FFFFFF" w:themeColor="background1"/>
                <w:sz w:val="18"/>
                <w:szCs w:val="18"/>
                <w:lang w:val="fr-CA"/>
              </w:rPr>
              <w:t> </w:t>
            </w:r>
            <w:r w:rsidR="00356916" w:rsidRPr="00CD71E6" w:rsidDel="00356916">
              <w:rPr>
                <w:color w:val="FFFFFF" w:themeColor="background1"/>
                <w:sz w:val="18"/>
                <w:szCs w:val="18"/>
                <w:lang w:val="fr-CA"/>
              </w:rPr>
              <w:t xml:space="preserve"> </w:t>
            </w:r>
            <w:r w:rsidRPr="00CD71E6">
              <w:rPr>
                <w:color w:val="FFFFFF" w:themeColor="background1"/>
                <w:sz w:val="18"/>
                <w:szCs w:val="18"/>
                <w:lang w:val="fr-CA"/>
              </w:rPr>
              <w:t>postes pourvus</w:t>
            </w:r>
          </w:p>
        </w:tc>
        <w:tc>
          <w:tcPr>
            <w:tcW w:w="1283" w:type="dxa"/>
            <w:gridSpan w:val="2"/>
            <w:shd w:val="clear" w:color="auto" w:fill="000000" w:themeFill="text1"/>
            <w:vAlign w:val="center"/>
          </w:tcPr>
          <w:p w14:paraId="547DD8BD"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Emplois occupés par des Inuits</w:t>
            </w:r>
          </w:p>
        </w:tc>
        <w:tc>
          <w:tcPr>
            <w:tcW w:w="1283" w:type="dxa"/>
            <w:gridSpan w:val="2"/>
            <w:shd w:val="clear" w:color="auto" w:fill="000000" w:themeFill="text1"/>
            <w:vAlign w:val="center"/>
          </w:tcPr>
          <w:p w14:paraId="7AF0ABFD"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 EI</w:t>
            </w:r>
          </w:p>
        </w:tc>
        <w:tc>
          <w:tcPr>
            <w:tcW w:w="1283" w:type="dxa"/>
            <w:gridSpan w:val="2"/>
            <w:shd w:val="clear" w:color="auto" w:fill="000000" w:themeFill="text1"/>
            <w:vAlign w:val="center"/>
          </w:tcPr>
          <w:p w14:paraId="7E03073C" w14:textId="77777777" w:rsidR="0093656E" w:rsidRPr="00CD71E6" w:rsidRDefault="0093656E" w:rsidP="00D41EEB">
            <w:pPr>
              <w:spacing w:after="0" w:line="240" w:lineRule="auto"/>
              <w:jc w:val="center"/>
              <w:rPr>
                <w:color w:val="FFFFFF" w:themeColor="background1"/>
                <w:sz w:val="18"/>
                <w:szCs w:val="18"/>
                <w:lang w:val="fr-CA"/>
              </w:rPr>
            </w:pPr>
            <w:r w:rsidRPr="00CD71E6">
              <w:rPr>
                <w:color w:val="FFFFFF" w:themeColor="background1"/>
                <w:sz w:val="18"/>
                <w:szCs w:val="18"/>
                <w:lang w:val="fr-CA"/>
              </w:rPr>
              <w:t>CNP</w:t>
            </w:r>
          </w:p>
        </w:tc>
      </w:tr>
      <w:tr w:rsidR="0093656E" w:rsidRPr="00CD71E6" w14:paraId="05BB46E0" w14:textId="77777777" w:rsidTr="00D21189">
        <w:trPr>
          <w:trHeight w:val="288"/>
        </w:trPr>
        <w:tc>
          <w:tcPr>
            <w:tcW w:w="2970" w:type="dxa"/>
            <w:shd w:val="clear" w:color="auto" w:fill="auto"/>
            <w:vAlign w:val="center"/>
          </w:tcPr>
          <w:p w14:paraId="1CB3C674" w14:textId="77777777" w:rsidR="0093656E" w:rsidRPr="00CD71E6" w:rsidRDefault="0093656E" w:rsidP="00D21189">
            <w:pPr>
              <w:spacing w:after="0" w:line="240" w:lineRule="auto"/>
              <w:jc w:val="right"/>
              <w:rPr>
                <w:sz w:val="20"/>
                <w:lang w:val="fr-CA"/>
              </w:rPr>
            </w:pPr>
            <w:r w:rsidRPr="00CD71E6">
              <w:rPr>
                <w:sz w:val="20"/>
                <w:lang w:val="fr-CA"/>
              </w:rPr>
              <w:t>Enseignants</w:t>
            </w:r>
          </w:p>
        </w:tc>
        <w:tc>
          <w:tcPr>
            <w:tcW w:w="1325" w:type="dxa"/>
            <w:gridSpan w:val="2"/>
            <w:vAlign w:val="center"/>
          </w:tcPr>
          <w:p w14:paraId="37D11BF8" w14:textId="57D87443" w:rsidR="0093656E" w:rsidRPr="00CD71E6" w:rsidRDefault="0093656E" w:rsidP="00D21189">
            <w:pPr>
              <w:spacing w:after="0" w:line="240" w:lineRule="auto"/>
              <w:jc w:val="center"/>
              <w:rPr>
                <w:sz w:val="20"/>
                <w:lang w:val="fr-CA"/>
              </w:rPr>
            </w:pPr>
            <w:r w:rsidRPr="00CD71E6">
              <w:rPr>
                <w:sz w:val="20"/>
                <w:lang w:val="fr-CA"/>
              </w:rPr>
              <w:t>61,10</w:t>
            </w:r>
          </w:p>
        </w:tc>
        <w:tc>
          <w:tcPr>
            <w:tcW w:w="1325" w:type="dxa"/>
            <w:gridSpan w:val="2"/>
            <w:vAlign w:val="center"/>
          </w:tcPr>
          <w:p w14:paraId="6C2ACC09" w14:textId="25F123FB" w:rsidR="0093656E" w:rsidRPr="00CD71E6" w:rsidRDefault="00FD2857" w:rsidP="00D21189">
            <w:pPr>
              <w:spacing w:after="0" w:line="240" w:lineRule="auto"/>
              <w:jc w:val="center"/>
              <w:rPr>
                <w:sz w:val="20"/>
                <w:lang w:val="fr-CA"/>
              </w:rPr>
            </w:pPr>
            <w:r w:rsidRPr="00CD71E6">
              <w:rPr>
                <w:sz w:val="20"/>
                <w:lang w:val="fr-CA"/>
              </w:rPr>
              <w:t>46,00</w:t>
            </w:r>
          </w:p>
        </w:tc>
        <w:tc>
          <w:tcPr>
            <w:tcW w:w="1325" w:type="dxa"/>
            <w:gridSpan w:val="2"/>
            <w:vAlign w:val="center"/>
          </w:tcPr>
          <w:p w14:paraId="40E27865" w14:textId="2EFE0E67" w:rsidR="0093656E" w:rsidRPr="00CD71E6" w:rsidRDefault="00175449" w:rsidP="00D21189">
            <w:pPr>
              <w:spacing w:after="0" w:line="240" w:lineRule="auto"/>
              <w:jc w:val="center"/>
              <w:rPr>
                <w:sz w:val="20"/>
                <w:lang w:val="fr-CA"/>
              </w:rPr>
            </w:pPr>
            <w:r w:rsidRPr="00CD71E6">
              <w:rPr>
                <w:sz w:val="20"/>
                <w:lang w:val="fr-CA"/>
              </w:rPr>
              <w:t>19,00</w:t>
            </w:r>
          </w:p>
        </w:tc>
        <w:tc>
          <w:tcPr>
            <w:tcW w:w="1325" w:type="dxa"/>
            <w:gridSpan w:val="2"/>
            <w:vAlign w:val="center"/>
          </w:tcPr>
          <w:p w14:paraId="4B318F96" w14:textId="637B646D" w:rsidR="0093656E" w:rsidRPr="00CD71E6" w:rsidRDefault="0091408D" w:rsidP="00D21189">
            <w:pPr>
              <w:spacing w:after="0" w:line="240" w:lineRule="auto"/>
              <w:jc w:val="center"/>
              <w:rPr>
                <w:sz w:val="20"/>
                <w:lang w:val="fr-CA"/>
              </w:rPr>
            </w:pPr>
            <w:r w:rsidRPr="00CD71E6">
              <w:rPr>
                <w:sz w:val="20"/>
                <w:lang w:val="fr-CA"/>
              </w:rPr>
              <w:t>41 %</w:t>
            </w:r>
          </w:p>
        </w:tc>
        <w:tc>
          <w:tcPr>
            <w:tcW w:w="1326" w:type="dxa"/>
            <w:gridSpan w:val="2"/>
            <w:vAlign w:val="center"/>
          </w:tcPr>
          <w:p w14:paraId="475E3F9D" w14:textId="77777777" w:rsidR="0093656E" w:rsidRPr="00CD71E6" w:rsidRDefault="0093656E" w:rsidP="00D21189">
            <w:pPr>
              <w:spacing w:after="0" w:line="240" w:lineRule="auto"/>
              <w:jc w:val="center"/>
              <w:rPr>
                <w:sz w:val="20"/>
                <w:lang w:val="fr-CA"/>
              </w:rPr>
            </w:pPr>
            <w:r w:rsidRPr="00CD71E6">
              <w:rPr>
                <w:sz w:val="20"/>
                <w:lang w:val="fr-CA"/>
              </w:rPr>
              <w:t>4021</w:t>
            </w:r>
          </w:p>
        </w:tc>
      </w:tr>
      <w:tr w:rsidR="0093656E" w:rsidRPr="00CD71E6" w14:paraId="2D52BB13" w14:textId="77777777" w:rsidTr="00D21189">
        <w:trPr>
          <w:trHeight w:val="288"/>
        </w:trPr>
        <w:tc>
          <w:tcPr>
            <w:tcW w:w="2970" w:type="dxa"/>
            <w:shd w:val="clear" w:color="auto" w:fill="auto"/>
            <w:vAlign w:val="center"/>
          </w:tcPr>
          <w:p w14:paraId="7C9AB4DF" w14:textId="77777777" w:rsidR="0093656E" w:rsidRPr="00CD71E6" w:rsidRDefault="0093656E" w:rsidP="00D21189">
            <w:pPr>
              <w:spacing w:after="0" w:line="240" w:lineRule="auto"/>
              <w:jc w:val="right"/>
              <w:rPr>
                <w:sz w:val="20"/>
                <w:lang w:val="fr-CA"/>
              </w:rPr>
            </w:pPr>
            <w:r w:rsidRPr="00CD71E6">
              <w:rPr>
                <w:sz w:val="20"/>
                <w:lang w:val="fr-CA"/>
              </w:rPr>
              <w:t xml:space="preserve">Enseignants chevronnés </w:t>
            </w:r>
          </w:p>
        </w:tc>
        <w:tc>
          <w:tcPr>
            <w:tcW w:w="1325" w:type="dxa"/>
            <w:gridSpan w:val="2"/>
            <w:vAlign w:val="center"/>
          </w:tcPr>
          <w:p w14:paraId="5619C360" w14:textId="1C3E9C27" w:rsidR="0093656E" w:rsidRPr="00CD71E6" w:rsidRDefault="00847B2B" w:rsidP="00D21189">
            <w:pPr>
              <w:spacing w:after="0" w:line="240" w:lineRule="auto"/>
              <w:jc w:val="center"/>
              <w:rPr>
                <w:sz w:val="20"/>
                <w:lang w:val="fr-CA"/>
              </w:rPr>
            </w:pPr>
            <w:r w:rsidRPr="00CD71E6">
              <w:rPr>
                <w:sz w:val="20"/>
                <w:lang w:val="fr-CA"/>
              </w:rPr>
              <w:t>7,00</w:t>
            </w:r>
          </w:p>
        </w:tc>
        <w:tc>
          <w:tcPr>
            <w:tcW w:w="1325" w:type="dxa"/>
            <w:gridSpan w:val="2"/>
            <w:vAlign w:val="center"/>
          </w:tcPr>
          <w:p w14:paraId="35691729" w14:textId="7DFAAE0A" w:rsidR="0093656E" w:rsidRPr="00CD71E6" w:rsidRDefault="00ED1F16" w:rsidP="00D21189">
            <w:pPr>
              <w:spacing w:after="0" w:line="240" w:lineRule="auto"/>
              <w:jc w:val="center"/>
              <w:rPr>
                <w:sz w:val="20"/>
                <w:lang w:val="fr-CA"/>
              </w:rPr>
            </w:pPr>
            <w:r w:rsidRPr="00CD71E6">
              <w:rPr>
                <w:sz w:val="20"/>
                <w:lang w:val="fr-CA"/>
              </w:rPr>
              <w:t>4,00</w:t>
            </w:r>
          </w:p>
        </w:tc>
        <w:tc>
          <w:tcPr>
            <w:tcW w:w="1325" w:type="dxa"/>
            <w:gridSpan w:val="2"/>
            <w:vAlign w:val="center"/>
          </w:tcPr>
          <w:p w14:paraId="1BAA5F35" w14:textId="14F3A5A7" w:rsidR="0093656E" w:rsidRPr="00CD71E6" w:rsidRDefault="00ED1F16" w:rsidP="00D21189">
            <w:pPr>
              <w:spacing w:after="0" w:line="240" w:lineRule="auto"/>
              <w:jc w:val="center"/>
              <w:rPr>
                <w:sz w:val="20"/>
                <w:lang w:val="fr-CA"/>
              </w:rPr>
            </w:pPr>
            <w:r w:rsidRPr="00CD71E6">
              <w:rPr>
                <w:sz w:val="20"/>
                <w:lang w:val="fr-CA"/>
              </w:rPr>
              <w:t>0,00</w:t>
            </w:r>
          </w:p>
        </w:tc>
        <w:tc>
          <w:tcPr>
            <w:tcW w:w="1325" w:type="dxa"/>
            <w:gridSpan w:val="2"/>
            <w:vAlign w:val="center"/>
          </w:tcPr>
          <w:p w14:paraId="72132986" w14:textId="6226C06C" w:rsidR="0093656E" w:rsidRPr="00CD71E6" w:rsidRDefault="00ED1F16" w:rsidP="00D21189">
            <w:pPr>
              <w:spacing w:after="0" w:line="240" w:lineRule="auto"/>
              <w:jc w:val="center"/>
              <w:rPr>
                <w:sz w:val="20"/>
                <w:lang w:val="fr-CA"/>
              </w:rPr>
            </w:pPr>
            <w:r w:rsidRPr="00CD71E6">
              <w:rPr>
                <w:sz w:val="20"/>
                <w:lang w:val="fr-CA"/>
              </w:rPr>
              <w:t>0 %</w:t>
            </w:r>
          </w:p>
        </w:tc>
        <w:tc>
          <w:tcPr>
            <w:tcW w:w="1326" w:type="dxa"/>
            <w:gridSpan w:val="2"/>
            <w:vAlign w:val="center"/>
          </w:tcPr>
          <w:p w14:paraId="642CFF80" w14:textId="77777777" w:rsidR="0093656E" w:rsidRPr="00CD71E6" w:rsidRDefault="0093656E" w:rsidP="00D21189">
            <w:pPr>
              <w:spacing w:after="0" w:line="240" w:lineRule="auto"/>
              <w:jc w:val="center"/>
              <w:rPr>
                <w:sz w:val="20"/>
                <w:lang w:val="fr-CA"/>
              </w:rPr>
            </w:pPr>
            <w:r w:rsidRPr="00CD71E6">
              <w:rPr>
                <w:sz w:val="20"/>
                <w:lang w:val="fr-CA"/>
              </w:rPr>
              <w:t>4021</w:t>
            </w:r>
          </w:p>
        </w:tc>
      </w:tr>
      <w:tr w:rsidR="0093656E" w:rsidRPr="00CD71E6" w14:paraId="41F3EE78" w14:textId="77777777" w:rsidTr="00D21189">
        <w:trPr>
          <w:trHeight w:val="288"/>
        </w:trPr>
        <w:tc>
          <w:tcPr>
            <w:tcW w:w="2970" w:type="dxa"/>
            <w:shd w:val="clear" w:color="auto" w:fill="auto"/>
            <w:vAlign w:val="center"/>
          </w:tcPr>
          <w:p w14:paraId="59DF9F1E" w14:textId="77777777" w:rsidR="0093656E" w:rsidRPr="00CD71E6" w:rsidRDefault="0093656E" w:rsidP="00D21189">
            <w:pPr>
              <w:spacing w:after="0" w:line="240" w:lineRule="auto"/>
              <w:jc w:val="right"/>
              <w:rPr>
                <w:sz w:val="20"/>
                <w:lang w:val="fr-CA"/>
              </w:rPr>
            </w:pPr>
            <w:r w:rsidRPr="00CD71E6">
              <w:rPr>
                <w:sz w:val="20"/>
                <w:lang w:val="fr-CA"/>
              </w:rPr>
              <w:t>Éducateurs d’adultes</w:t>
            </w:r>
          </w:p>
        </w:tc>
        <w:tc>
          <w:tcPr>
            <w:tcW w:w="1325" w:type="dxa"/>
            <w:gridSpan w:val="2"/>
            <w:vAlign w:val="center"/>
          </w:tcPr>
          <w:p w14:paraId="72E82C38" w14:textId="3243B6E0" w:rsidR="0093656E" w:rsidRPr="00CD71E6" w:rsidRDefault="00C33E70" w:rsidP="00D21189">
            <w:pPr>
              <w:spacing w:after="0" w:line="240" w:lineRule="auto"/>
              <w:jc w:val="center"/>
              <w:rPr>
                <w:sz w:val="20"/>
                <w:lang w:val="fr-CA"/>
              </w:rPr>
            </w:pPr>
            <w:r w:rsidRPr="00CD71E6">
              <w:rPr>
                <w:sz w:val="20"/>
                <w:lang w:val="fr-CA"/>
              </w:rPr>
              <w:t>25,0</w:t>
            </w:r>
          </w:p>
        </w:tc>
        <w:tc>
          <w:tcPr>
            <w:tcW w:w="1325" w:type="dxa"/>
            <w:gridSpan w:val="2"/>
            <w:vAlign w:val="center"/>
          </w:tcPr>
          <w:p w14:paraId="4FF556E1" w14:textId="1A50D7B4" w:rsidR="0093656E" w:rsidRPr="00CD71E6" w:rsidRDefault="00BF0769" w:rsidP="00D21189">
            <w:pPr>
              <w:spacing w:after="0" w:line="240" w:lineRule="auto"/>
              <w:jc w:val="center"/>
              <w:rPr>
                <w:sz w:val="20"/>
                <w:lang w:val="fr-CA"/>
              </w:rPr>
            </w:pPr>
            <w:r w:rsidRPr="00CD71E6">
              <w:rPr>
                <w:sz w:val="20"/>
                <w:lang w:val="fr-CA"/>
              </w:rPr>
              <w:t>22,00</w:t>
            </w:r>
          </w:p>
        </w:tc>
        <w:tc>
          <w:tcPr>
            <w:tcW w:w="1325" w:type="dxa"/>
            <w:gridSpan w:val="2"/>
            <w:vAlign w:val="center"/>
          </w:tcPr>
          <w:p w14:paraId="1212DD38" w14:textId="1DE8DA99" w:rsidR="0093656E" w:rsidRPr="00CD71E6" w:rsidRDefault="00622A8C" w:rsidP="00D21189">
            <w:pPr>
              <w:spacing w:after="0" w:line="240" w:lineRule="auto"/>
              <w:jc w:val="center"/>
              <w:rPr>
                <w:sz w:val="20"/>
                <w:lang w:val="fr-CA"/>
              </w:rPr>
            </w:pPr>
            <w:r w:rsidRPr="00CD71E6">
              <w:rPr>
                <w:sz w:val="20"/>
                <w:lang w:val="fr-CA"/>
              </w:rPr>
              <w:t>15,0</w:t>
            </w:r>
          </w:p>
        </w:tc>
        <w:tc>
          <w:tcPr>
            <w:tcW w:w="1325" w:type="dxa"/>
            <w:gridSpan w:val="2"/>
            <w:vAlign w:val="center"/>
          </w:tcPr>
          <w:p w14:paraId="78BD5AE6" w14:textId="4DFBDD7B" w:rsidR="0093656E" w:rsidRPr="00CD71E6" w:rsidRDefault="00622A8C" w:rsidP="00D21189">
            <w:pPr>
              <w:spacing w:after="0" w:line="240" w:lineRule="auto"/>
              <w:jc w:val="center"/>
              <w:rPr>
                <w:sz w:val="20"/>
                <w:lang w:val="fr-CA"/>
              </w:rPr>
            </w:pPr>
            <w:r w:rsidRPr="00CD71E6">
              <w:rPr>
                <w:sz w:val="20"/>
                <w:lang w:val="fr-CA"/>
              </w:rPr>
              <w:t>68 %</w:t>
            </w:r>
          </w:p>
        </w:tc>
        <w:tc>
          <w:tcPr>
            <w:tcW w:w="1326" w:type="dxa"/>
            <w:gridSpan w:val="2"/>
            <w:vAlign w:val="center"/>
          </w:tcPr>
          <w:p w14:paraId="1355142E" w14:textId="77777777" w:rsidR="0093656E" w:rsidRPr="00CD71E6" w:rsidRDefault="0093656E" w:rsidP="00D21189">
            <w:pPr>
              <w:spacing w:after="0" w:line="240" w:lineRule="auto"/>
              <w:jc w:val="center"/>
              <w:rPr>
                <w:sz w:val="20"/>
                <w:lang w:val="fr-CA"/>
              </w:rPr>
            </w:pPr>
            <w:r w:rsidRPr="00CD71E6">
              <w:rPr>
                <w:sz w:val="20"/>
                <w:lang w:val="fr-CA"/>
              </w:rPr>
              <w:t>4021</w:t>
            </w:r>
          </w:p>
        </w:tc>
      </w:tr>
      <w:tr w:rsidR="0093656E" w:rsidRPr="00CD71E6" w14:paraId="56D4DE94" w14:textId="77777777" w:rsidTr="00D21189">
        <w:trPr>
          <w:trHeight w:val="288"/>
        </w:trPr>
        <w:tc>
          <w:tcPr>
            <w:tcW w:w="2970" w:type="dxa"/>
            <w:shd w:val="clear" w:color="auto" w:fill="auto"/>
            <w:vAlign w:val="center"/>
          </w:tcPr>
          <w:p w14:paraId="46104F8E" w14:textId="77777777" w:rsidR="0093656E" w:rsidRPr="00CD71E6" w:rsidRDefault="0093656E" w:rsidP="00D21189">
            <w:pPr>
              <w:spacing w:after="0" w:line="240" w:lineRule="auto"/>
              <w:jc w:val="right"/>
              <w:rPr>
                <w:sz w:val="20"/>
                <w:lang w:val="fr-CA"/>
              </w:rPr>
            </w:pPr>
            <w:r w:rsidRPr="00CD71E6">
              <w:rPr>
                <w:sz w:val="20"/>
                <w:lang w:val="fr-CA"/>
              </w:rPr>
              <w:t>Gestionnaires de programmes</w:t>
            </w:r>
          </w:p>
        </w:tc>
        <w:tc>
          <w:tcPr>
            <w:tcW w:w="1325" w:type="dxa"/>
            <w:gridSpan w:val="2"/>
            <w:vAlign w:val="center"/>
          </w:tcPr>
          <w:p w14:paraId="7AC8CBE1" w14:textId="21AC98CD" w:rsidR="0093656E" w:rsidRPr="00CD71E6" w:rsidRDefault="00483C1D" w:rsidP="00D21189">
            <w:pPr>
              <w:spacing w:after="0" w:line="240" w:lineRule="auto"/>
              <w:jc w:val="center"/>
              <w:rPr>
                <w:sz w:val="20"/>
                <w:lang w:val="fr-CA"/>
              </w:rPr>
            </w:pPr>
            <w:r w:rsidRPr="00CD71E6">
              <w:rPr>
                <w:sz w:val="20"/>
                <w:lang w:val="fr-CA"/>
              </w:rPr>
              <w:t>5</w:t>
            </w:r>
            <w:r w:rsidR="009A742D">
              <w:rPr>
                <w:sz w:val="20"/>
                <w:lang w:val="fr-CA"/>
              </w:rPr>
              <w:t>,00</w:t>
            </w:r>
          </w:p>
        </w:tc>
        <w:tc>
          <w:tcPr>
            <w:tcW w:w="1325" w:type="dxa"/>
            <w:gridSpan w:val="2"/>
            <w:vAlign w:val="center"/>
          </w:tcPr>
          <w:p w14:paraId="04427A04" w14:textId="29489CAA" w:rsidR="0093656E" w:rsidRPr="00CD71E6" w:rsidRDefault="00483C1D" w:rsidP="00D21189">
            <w:pPr>
              <w:spacing w:after="0" w:line="240" w:lineRule="auto"/>
              <w:jc w:val="center"/>
              <w:rPr>
                <w:sz w:val="20"/>
                <w:lang w:val="fr-CA"/>
              </w:rPr>
            </w:pPr>
            <w:r w:rsidRPr="00CD71E6">
              <w:rPr>
                <w:sz w:val="20"/>
                <w:lang w:val="fr-CA"/>
              </w:rPr>
              <w:t>4,00</w:t>
            </w:r>
          </w:p>
        </w:tc>
        <w:tc>
          <w:tcPr>
            <w:tcW w:w="1325" w:type="dxa"/>
            <w:gridSpan w:val="2"/>
            <w:vAlign w:val="center"/>
          </w:tcPr>
          <w:p w14:paraId="054FA7ED" w14:textId="61AEF4F5" w:rsidR="0093656E" w:rsidRPr="00CD71E6" w:rsidRDefault="00BD4395" w:rsidP="00D21189">
            <w:pPr>
              <w:spacing w:after="0" w:line="240" w:lineRule="auto"/>
              <w:jc w:val="center"/>
              <w:rPr>
                <w:sz w:val="20"/>
                <w:lang w:val="fr-CA"/>
              </w:rPr>
            </w:pPr>
            <w:r w:rsidRPr="00CD71E6">
              <w:rPr>
                <w:sz w:val="20"/>
                <w:lang w:val="fr-CA"/>
              </w:rPr>
              <w:t>1,00</w:t>
            </w:r>
          </w:p>
        </w:tc>
        <w:tc>
          <w:tcPr>
            <w:tcW w:w="1325" w:type="dxa"/>
            <w:gridSpan w:val="2"/>
            <w:vAlign w:val="center"/>
          </w:tcPr>
          <w:p w14:paraId="5BE9D29D" w14:textId="0FF8349F" w:rsidR="0093656E" w:rsidRPr="00CD71E6" w:rsidRDefault="00C467D6" w:rsidP="00D21189">
            <w:pPr>
              <w:spacing w:after="0" w:line="240" w:lineRule="auto"/>
              <w:jc w:val="center"/>
              <w:rPr>
                <w:sz w:val="20"/>
                <w:lang w:val="fr-CA"/>
              </w:rPr>
            </w:pPr>
            <w:r w:rsidRPr="00CD71E6">
              <w:rPr>
                <w:sz w:val="20"/>
                <w:lang w:val="fr-CA"/>
              </w:rPr>
              <w:t>25 %</w:t>
            </w:r>
          </w:p>
        </w:tc>
        <w:tc>
          <w:tcPr>
            <w:tcW w:w="1326" w:type="dxa"/>
            <w:gridSpan w:val="2"/>
            <w:vAlign w:val="center"/>
          </w:tcPr>
          <w:p w14:paraId="3441AE9F" w14:textId="40077487" w:rsidR="0093656E" w:rsidRPr="00CD71E6" w:rsidRDefault="00B85372" w:rsidP="00D21189">
            <w:pPr>
              <w:spacing w:after="0" w:line="240" w:lineRule="auto"/>
              <w:jc w:val="center"/>
              <w:rPr>
                <w:sz w:val="20"/>
                <w:lang w:val="fr-CA"/>
              </w:rPr>
            </w:pPr>
            <w:r w:rsidRPr="00CD71E6">
              <w:rPr>
                <w:sz w:val="20"/>
                <w:lang w:val="fr-CA"/>
              </w:rPr>
              <w:t>0421</w:t>
            </w:r>
          </w:p>
        </w:tc>
      </w:tr>
      <w:tr w:rsidR="0093656E" w:rsidRPr="00CD71E6" w14:paraId="7D891D30" w14:textId="77777777" w:rsidTr="00D21189">
        <w:trPr>
          <w:trHeight w:val="288"/>
        </w:trPr>
        <w:tc>
          <w:tcPr>
            <w:tcW w:w="2970" w:type="dxa"/>
            <w:shd w:val="clear" w:color="auto" w:fill="auto"/>
            <w:vAlign w:val="center"/>
          </w:tcPr>
          <w:p w14:paraId="3F6BC548" w14:textId="77777777" w:rsidR="0093656E" w:rsidRPr="00CD71E6" w:rsidRDefault="0093656E" w:rsidP="00D21189">
            <w:pPr>
              <w:spacing w:after="0" w:line="240" w:lineRule="auto"/>
              <w:jc w:val="right"/>
              <w:rPr>
                <w:sz w:val="20"/>
                <w:lang w:val="fr-CA"/>
              </w:rPr>
            </w:pPr>
            <w:r w:rsidRPr="00CD71E6">
              <w:rPr>
                <w:sz w:val="20"/>
                <w:lang w:val="fr-CA"/>
              </w:rPr>
              <w:t>Coordonnateurs de programmes</w:t>
            </w:r>
          </w:p>
        </w:tc>
        <w:tc>
          <w:tcPr>
            <w:tcW w:w="1325" w:type="dxa"/>
            <w:gridSpan w:val="2"/>
            <w:vAlign w:val="center"/>
          </w:tcPr>
          <w:p w14:paraId="247C3C1E" w14:textId="52F1017E" w:rsidR="0093656E" w:rsidRPr="00CD71E6" w:rsidRDefault="00C467D6" w:rsidP="00D21189">
            <w:pPr>
              <w:spacing w:after="0" w:line="240" w:lineRule="auto"/>
              <w:jc w:val="center"/>
              <w:rPr>
                <w:sz w:val="20"/>
                <w:lang w:val="fr-CA"/>
              </w:rPr>
            </w:pPr>
            <w:r w:rsidRPr="00CD71E6">
              <w:rPr>
                <w:sz w:val="20"/>
                <w:lang w:val="fr-CA"/>
              </w:rPr>
              <w:t>4</w:t>
            </w:r>
            <w:r w:rsidR="009A742D">
              <w:rPr>
                <w:sz w:val="20"/>
                <w:lang w:val="fr-CA"/>
              </w:rPr>
              <w:t>,00</w:t>
            </w:r>
          </w:p>
        </w:tc>
        <w:tc>
          <w:tcPr>
            <w:tcW w:w="1325" w:type="dxa"/>
            <w:gridSpan w:val="2"/>
            <w:vAlign w:val="center"/>
          </w:tcPr>
          <w:p w14:paraId="4D1B0006" w14:textId="33721336" w:rsidR="0093656E" w:rsidRPr="00CD71E6" w:rsidRDefault="00013FCE" w:rsidP="00D21189">
            <w:pPr>
              <w:spacing w:after="0" w:line="240" w:lineRule="auto"/>
              <w:jc w:val="center"/>
              <w:rPr>
                <w:sz w:val="20"/>
                <w:lang w:val="fr-CA"/>
              </w:rPr>
            </w:pPr>
            <w:r w:rsidRPr="00CD71E6">
              <w:rPr>
                <w:sz w:val="20"/>
                <w:lang w:val="fr-CA"/>
              </w:rPr>
              <w:t>4,00</w:t>
            </w:r>
          </w:p>
        </w:tc>
        <w:tc>
          <w:tcPr>
            <w:tcW w:w="1325" w:type="dxa"/>
            <w:gridSpan w:val="2"/>
            <w:vAlign w:val="center"/>
          </w:tcPr>
          <w:p w14:paraId="1FDCB7B4" w14:textId="3A57D503" w:rsidR="0093656E" w:rsidRPr="00CD71E6" w:rsidRDefault="00013FCE" w:rsidP="00D21189">
            <w:pPr>
              <w:spacing w:after="0" w:line="240" w:lineRule="auto"/>
              <w:jc w:val="center"/>
              <w:rPr>
                <w:sz w:val="20"/>
                <w:lang w:val="fr-CA"/>
              </w:rPr>
            </w:pPr>
            <w:r w:rsidRPr="00CD71E6">
              <w:rPr>
                <w:sz w:val="20"/>
                <w:lang w:val="fr-CA"/>
              </w:rPr>
              <w:t>1,00</w:t>
            </w:r>
          </w:p>
        </w:tc>
        <w:tc>
          <w:tcPr>
            <w:tcW w:w="1325" w:type="dxa"/>
            <w:gridSpan w:val="2"/>
            <w:vAlign w:val="center"/>
          </w:tcPr>
          <w:p w14:paraId="71803FD7" w14:textId="56939820" w:rsidR="0093656E" w:rsidRPr="00CD71E6" w:rsidRDefault="00013FCE" w:rsidP="00D21189">
            <w:pPr>
              <w:spacing w:after="0" w:line="240" w:lineRule="auto"/>
              <w:jc w:val="center"/>
              <w:rPr>
                <w:sz w:val="20"/>
                <w:lang w:val="fr-CA"/>
              </w:rPr>
            </w:pPr>
            <w:r w:rsidRPr="00CD71E6">
              <w:rPr>
                <w:sz w:val="20"/>
                <w:lang w:val="fr-CA"/>
              </w:rPr>
              <w:t>25 %</w:t>
            </w:r>
          </w:p>
        </w:tc>
        <w:tc>
          <w:tcPr>
            <w:tcW w:w="1326" w:type="dxa"/>
            <w:gridSpan w:val="2"/>
            <w:vAlign w:val="center"/>
          </w:tcPr>
          <w:p w14:paraId="601E17EF" w14:textId="773FDAC3" w:rsidR="0093656E" w:rsidRPr="00CD71E6" w:rsidRDefault="00B85372" w:rsidP="00D21189">
            <w:pPr>
              <w:spacing w:after="0" w:line="240" w:lineRule="auto"/>
              <w:jc w:val="center"/>
              <w:rPr>
                <w:sz w:val="20"/>
                <w:lang w:val="fr-CA"/>
              </w:rPr>
            </w:pPr>
            <w:r w:rsidRPr="00CD71E6">
              <w:rPr>
                <w:sz w:val="20"/>
                <w:lang w:val="fr-CA"/>
              </w:rPr>
              <w:t>0421</w:t>
            </w:r>
          </w:p>
        </w:tc>
      </w:tr>
      <w:tr w:rsidR="0093656E" w:rsidRPr="00CD71E6" w14:paraId="032F7EE4" w14:textId="77777777" w:rsidTr="00D21189">
        <w:trPr>
          <w:trHeight w:val="288"/>
        </w:trPr>
        <w:tc>
          <w:tcPr>
            <w:tcW w:w="2970" w:type="dxa"/>
            <w:shd w:val="clear" w:color="auto" w:fill="auto"/>
            <w:vAlign w:val="center"/>
          </w:tcPr>
          <w:p w14:paraId="5B369B0F" w14:textId="247C3A87" w:rsidR="0093656E" w:rsidRPr="00CD71E6" w:rsidRDefault="00D95834" w:rsidP="00D21189">
            <w:pPr>
              <w:spacing w:after="0" w:line="240" w:lineRule="auto"/>
              <w:jc w:val="right"/>
              <w:rPr>
                <w:sz w:val="20"/>
                <w:lang w:val="fr-CA"/>
              </w:rPr>
            </w:pPr>
            <w:r w:rsidRPr="00CD71E6">
              <w:rPr>
                <w:sz w:val="20"/>
                <w:lang w:val="fr-CA"/>
              </w:rPr>
              <w:t>Différents postes professionnels</w:t>
            </w:r>
          </w:p>
        </w:tc>
        <w:tc>
          <w:tcPr>
            <w:tcW w:w="1325" w:type="dxa"/>
            <w:gridSpan w:val="2"/>
            <w:vAlign w:val="center"/>
          </w:tcPr>
          <w:p w14:paraId="58E774CD" w14:textId="60E80644" w:rsidR="0093656E" w:rsidRPr="00CD71E6" w:rsidRDefault="00BE765D" w:rsidP="00D21189">
            <w:pPr>
              <w:spacing w:after="0" w:line="240" w:lineRule="auto"/>
              <w:jc w:val="center"/>
              <w:rPr>
                <w:sz w:val="20"/>
                <w:lang w:val="fr-CA"/>
              </w:rPr>
            </w:pPr>
            <w:r w:rsidRPr="00CD71E6">
              <w:rPr>
                <w:sz w:val="20"/>
                <w:lang w:val="fr-CA"/>
              </w:rPr>
              <w:t>7</w:t>
            </w:r>
            <w:r w:rsidR="009A742D">
              <w:rPr>
                <w:sz w:val="20"/>
                <w:lang w:val="fr-CA"/>
              </w:rPr>
              <w:t>,00</w:t>
            </w:r>
          </w:p>
        </w:tc>
        <w:tc>
          <w:tcPr>
            <w:tcW w:w="1325" w:type="dxa"/>
            <w:gridSpan w:val="2"/>
            <w:vAlign w:val="center"/>
          </w:tcPr>
          <w:p w14:paraId="4278BAF5" w14:textId="2DE18859" w:rsidR="0093656E" w:rsidRPr="00CD71E6" w:rsidRDefault="00D822CF" w:rsidP="00D21189">
            <w:pPr>
              <w:spacing w:after="0" w:line="240" w:lineRule="auto"/>
              <w:jc w:val="center"/>
              <w:rPr>
                <w:sz w:val="20"/>
                <w:lang w:val="fr-CA"/>
              </w:rPr>
            </w:pPr>
            <w:r w:rsidRPr="00CD71E6">
              <w:rPr>
                <w:sz w:val="20"/>
                <w:lang w:val="fr-CA"/>
              </w:rPr>
              <w:t>3,00</w:t>
            </w:r>
          </w:p>
        </w:tc>
        <w:tc>
          <w:tcPr>
            <w:tcW w:w="1325" w:type="dxa"/>
            <w:gridSpan w:val="2"/>
            <w:vAlign w:val="center"/>
          </w:tcPr>
          <w:p w14:paraId="2CA924B8" w14:textId="13045B27" w:rsidR="0093656E" w:rsidRPr="00CD71E6" w:rsidRDefault="00D822CF" w:rsidP="00D21189">
            <w:pPr>
              <w:spacing w:after="0" w:line="240" w:lineRule="auto"/>
              <w:jc w:val="center"/>
              <w:rPr>
                <w:sz w:val="20"/>
                <w:lang w:val="fr-CA"/>
              </w:rPr>
            </w:pPr>
            <w:r w:rsidRPr="00CD71E6">
              <w:rPr>
                <w:sz w:val="20"/>
                <w:lang w:val="fr-CA"/>
              </w:rPr>
              <w:t>1</w:t>
            </w:r>
            <w:r w:rsidR="009A742D">
              <w:rPr>
                <w:sz w:val="20"/>
                <w:lang w:val="fr-CA"/>
              </w:rPr>
              <w:t>,00</w:t>
            </w:r>
          </w:p>
        </w:tc>
        <w:tc>
          <w:tcPr>
            <w:tcW w:w="1325" w:type="dxa"/>
            <w:gridSpan w:val="2"/>
            <w:vAlign w:val="center"/>
          </w:tcPr>
          <w:p w14:paraId="6FF266E8" w14:textId="4089A3DA" w:rsidR="0093656E" w:rsidRPr="00CD71E6" w:rsidRDefault="00D822CF" w:rsidP="00D21189">
            <w:pPr>
              <w:spacing w:after="0" w:line="240" w:lineRule="auto"/>
              <w:jc w:val="center"/>
              <w:rPr>
                <w:sz w:val="20"/>
                <w:lang w:val="fr-CA"/>
              </w:rPr>
            </w:pPr>
            <w:r w:rsidRPr="00CD71E6">
              <w:rPr>
                <w:sz w:val="20"/>
                <w:lang w:val="fr-CA"/>
              </w:rPr>
              <w:t>33 %</w:t>
            </w:r>
          </w:p>
        </w:tc>
        <w:tc>
          <w:tcPr>
            <w:tcW w:w="1326" w:type="dxa"/>
            <w:gridSpan w:val="2"/>
            <w:vAlign w:val="center"/>
          </w:tcPr>
          <w:p w14:paraId="4162B7BC" w14:textId="32461178" w:rsidR="0093656E" w:rsidRPr="00CD71E6" w:rsidRDefault="0093656E" w:rsidP="00D21189">
            <w:pPr>
              <w:spacing w:after="0" w:line="240" w:lineRule="auto"/>
              <w:jc w:val="center"/>
              <w:rPr>
                <w:sz w:val="20"/>
                <w:lang w:val="fr-CA"/>
              </w:rPr>
            </w:pPr>
            <w:r w:rsidRPr="00CD71E6">
              <w:rPr>
                <w:sz w:val="20"/>
                <w:lang w:val="fr-CA"/>
              </w:rPr>
              <w:t>4166</w:t>
            </w:r>
          </w:p>
        </w:tc>
      </w:tr>
      <w:tr w:rsidR="0093656E" w:rsidRPr="00CD71E6" w14:paraId="7C865401" w14:textId="77777777" w:rsidTr="00D21189">
        <w:trPr>
          <w:trHeight w:val="288"/>
        </w:trPr>
        <w:tc>
          <w:tcPr>
            <w:tcW w:w="2970" w:type="dxa"/>
            <w:shd w:val="clear" w:color="auto" w:fill="auto"/>
            <w:vAlign w:val="center"/>
          </w:tcPr>
          <w:p w14:paraId="1DCAD1C8" w14:textId="51D5351A" w:rsidR="0093656E" w:rsidRPr="00CD71E6" w:rsidRDefault="002435BA" w:rsidP="00D21189">
            <w:pPr>
              <w:spacing w:after="0" w:line="240" w:lineRule="auto"/>
              <w:jc w:val="right"/>
              <w:rPr>
                <w:sz w:val="20"/>
                <w:lang w:val="fr-CA"/>
              </w:rPr>
            </w:pPr>
            <w:r w:rsidRPr="00CD71E6">
              <w:rPr>
                <w:sz w:val="20"/>
                <w:lang w:val="fr-CA"/>
              </w:rPr>
              <w:t>Autres postes</w:t>
            </w:r>
          </w:p>
        </w:tc>
        <w:tc>
          <w:tcPr>
            <w:tcW w:w="1325" w:type="dxa"/>
            <w:gridSpan w:val="2"/>
            <w:vAlign w:val="center"/>
          </w:tcPr>
          <w:p w14:paraId="08DEA3ED" w14:textId="7B5FB882" w:rsidR="0093656E" w:rsidRPr="00CD71E6" w:rsidRDefault="001A47B2" w:rsidP="00D21189">
            <w:pPr>
              <w:spacing w:after="0" w:line="240" w:lineRule="auto"/>
              <w:jc w:val="center"/>
              <w:rPr>
                <w:sz w:val="20"/>
                <w:lang w:val="fr-CA"/>
              </w:rPr>
            </w:pPr>
            <w:r w:rsidRPr="00CD71E6">
              <w:rPr>
                <w:sz w:val="20"/>
                <w:lang w:val="fr-CA"/>
              </w:rPr>
              <w:t>1,00</w:t>
            </w:r>
          </w:p>
        </w:tc>
        <w:tc>
          <w:tcPr>
            <w:tcW w:w="1325" w:type="dxa"/>
            <w:gridSpan w:val="2"/>
            <w:vAlign w:val="center"/>
          </w:tcPr>
          <w:p w14:paraId="60436C66" w14:textId="22365D06" w:rsidR="0093656E" w:rsidRPr="00CD71E6" w:rsidRDefault="00437ECC" w:rsidP="00D21189">
            <w:pPr>
              <w:spacing w:after="0" w:line="240" w:lineRule="auto"/>
              <w:jc w:val="center"/>
              <w:rPr>
                <w:sz w:val="20"/>
                <w:lang w:val="fr-CA"/>
              </w:rPr>
            </w:pPr>
            <w:r w:rsidRPr="00CD71E6">
              <w:rPr>
                <w:sz w:val="20"/>
                <w:lang w:val="fr-CA"/>
              </w:rPr>
              <w:t>1,00</w:t>
            </w:r>
          </w:p>
        </w:tc>
        <w:tc>
          <w:tcPr>
            <w:tcW w:w="1325" w:type="dxa"/>
            <w:gridSpan w:val="2"/>
            <w:vAlign w:val="center"/>
          </w:tcPr>
          <w:p w14:paraId="15A272D4" w14:textId="1A9B6428" w:rsidR="0093656E" w:rsidRPr="00CD71E6" w:rsidRDefault="00437ECC" w:rsidP="00D21189">
            <w:pPr>
              <w:spacing w:after="0" w:line="240" w:lineRule="auto"/>
              <w:jc w:val="center"/>
              <w:rPr>
                <w:sz w:val="20"/>
                <w:lang w:val="fr-CA"/>
              </w:rPr>
            </w:pPr>
            <w:r w:rsidRPr="00CD71E6">
              <w:rPr>
                <w:sz w:val="20"/>
                <w:lang w:val="fr-CA"/>
              </w:rPr>
              <w:t>0,00</w:t>
            </w:r>
          </w:p>
        </w:tc>
        <w:tc>
          <w:tcPr>
            <w:tcW w:w="1325" w:type="dxa"/>
            <w:gridSpan w:val="2"/>
            <w:vAlign w:val="center"/>
          </w:tcPr>
          <w:p w14:paraId="141BE677" w14:textId="565E161E" w:rsidR="0093656E" w:rsidRPr="00CD71E6" w:rsidRDefault="00AF15C3" w:rsidP="00D21189">
            <w:pPr>
              <w:spacing w:after="0" w:line="240" w:lineRule="auto"/>
              <w:jc w:val="center"/>
              <w:rPr>
                <w:sz w:val="20"/>
                <w:lang w:val="fr-CA"/>
              </w:rPr>
            </w:pPr>
            <w:r w:rsidRPr="00CD71E6">
              <w:rPr>
                <w:sz w:val="20"/>
                <w:lang w:val="fr-CA"/>
              </w:rPr>
              <w:t>0 %</w:t>
            </w:r>
          </w:p>
        </w:tc>
        <w:tc>
          <w:tcPr>
            <w:tcW w:w="1326" w:type="dxa"/>
            <w:gridSpan w:val="2"/>
            <w:vAlign w:val="center"/>
          </w:tcPr>
          <w:p w14:paraId="0D652698" w14:textId="77777777" w:rsidR="0093656E" w:rsidRPr="00CD71E6" w:rsidRDefault="0093656E" w:rsidP="00D21189">
            <w:pPr>
              <w:spacing w:after="0" w:line="240" w:lineRule="auto"/>
              <w:jc w:val="center"/>
              <w:rPr>
                <w:sz w:val="20"/>
                <w:lang w:val="fr-CA"/>
              </w:rPr>
            </w:pPr>
            <w:r w:rsidRPr="00CD71E6">
              <w:rPr>
                <w:sz w:val="20"/>
                <w:lang w:val="fr-CA"/>
              </w:rPr>
              <w:t>4156</w:t>
            </w:r>
          </w:p>
        </w:tc>
      </w:tr>
      <w:tr w:rsidR="0093656E" w:rsidRPr="00CD71E6" w14:paraId="531D9D93" w14:textId="77777777" w:rsidTr="00D21189">
        <w:trPr>
          <w:trHeight w:val="288"/>
        </w:trPr>
        <w:tc>
          <w:tcPr>
            <w:tcW w:w="2970" w:type="dxa"/>
            <w:tcBorders>
              <w:top w:val="single" w:sz="12" w:space="0" w:color="auto"/>
              <w:bottom w:val="single" w:sz="12" w:space="0" w:color="auto"/>
            </w:tcBorders>
            <w:shd w:val="clear" w:color="auto" w:fill="auto"/>
            <w:vAlign w:val="center"/>
          </w:tcPr>
          <w:p w14:paraId="4851B2CF" w14:textId="77777777" w:rsidR="0093656E" w:rsidRPr="00CD71E6" w:rsidRDefault="0093656E" w:rsidP="00D21189">
            <w:pPr>
              <w:spacing w:after="0" w:line="240" w:lineRule="auto"/>
              <w:jc w:val="right"/>
              <w:rPr>
                <w:b/>
                <w:sz w:val="20"/>
                <w:lang w:val="fr-CA"/>
              </w:rPr>
            </w:pPr>
            <w:r w:rsidRPr="00CD71E6">
              <w:rPr>
                <w:b/>
                <w:bCs/>
                <w:sz w:val="20"/>
                <w:lang w:val="fr-CA"/>
              </w:rPr>
              <w:t>Nombre total de postes</w:t>
            </w:r>
          </w:p>
        </w:tc>
        <w:tc>
          <w:tcPr>
            <w:tcW w:w="1325" w:type="dxa"/>
            <w:gridSpan w:val="2"/>
            <w:tcBorders>
              <w:top w:val="single" w:sz="12" w:space="0" w:color="auto"/>
              <w:bottom w:val="single" w:sz="12" w:space="0" w:color="auto"/>
            </w:tcBorders>
            <w:vAlign w:val="center"/>
          </w:tcPr>
          <w:p w14:paraId="01458033" w14:textId="32B7ACF0" w:rsidR="0093656E" w:rsidRPr="00CD71E6" w:rsidRDefault="00280352" w:rsidP="00D21189">
            <w:pPr>
              <w:spacing w:after="0" w:line="240" w:lineRule="auto"/>
              <w:jc w:val="center"/>
              <w:rPr>
                <w:b/>
                <w:sz w:val="20"/>
                <w:lang w:val="fr-CA"/>
              </w:rPr>
            </w:pPr>
            <w:r w:rsidRPr="00CD71E6">
              <w:rPr>
                <w:b/>
                <w:bCs/>
                <w:sz w:val="20"/>
                <w:lang w:val="fr-CA"/>
              </w:rPr>
              <w:t>110,10</w:t>
            </w:r>
          </w:p>
        </w:tc>
        <w:tc>
          <w:tcPr>
            <w:tcW w:w="1325" w:type="dxa"/>
            <w:gridSpan w:val="2"/>
            <w:tcBorders>
              <w:top w:val="single" w:sz="12" w:space="0" w:color="auto"/>
              <w:bottom w:val="single" w:sz="12" w:space="0" w:color="auto"/>
            </w:tcBorders>
            <w:vAlign w:val="center"/>
          </w:tcPr>
          <w:p w14:paraId="6253E590" w14:textId="79D6E4A9" w:rsidR="0093656E" w:rsidRPr="00CD71E6" w:rsidRDefault="002101E3" w:rsidP="00D21189">
            <w:pPr>
              <w:spacing w:after="0" w:line="240" w:lineRule="auto"/>
              <w:jc w:val="center"/>
              <w:rPr>
                <w:b/>
                <w:sz w:val="20"/>
                <w:lang w:val="fr-CA"/>
              </w:rPr>
            </w:pPr>
            <w:r w:rsidRPr="00CD71E6">
              <w:rPr>
                <w:b/>
                <w:bCs/>
                <w:sz w:val="20"/>
                <w:lang w:val="fr-CA"/>
              </w:rPr>
              <w:t>84,00</w:t>
            </w:r>
          </w:p>
        </w:tc>
        <w:tc>
          <w:tcPr>
            <w:tcW w:w="1325" w:type="dxa"/>
            <w:gridSpan w:val="2"/>
            <w:tcBorders>
              <w:top w:val="single" w:sz="12" w:space="0" w:color="auto"/>
              <w:bottom w:val="single" w:sz="12" w:space="0" w:color="auto"/>
            </w:tcBorders>
            <w:vAlign w:val="center"/>
          </w:tcPr>
          <w:p w14:paraId="479AB8A1" w14:textId="155A9FBA" w:rsidR="0093656E" w:rsidRPr="00CD71E6" w:rsidRDefault="002101E3" w:rsidP="00D21189">
            <w:pPr>
              <w:spacing w:after="0" w:line="240" w:lineRule="auto"/>
              <w:jc w:val="center"/>
              <w:rPr>
                <w:b/>
                <w:sz w:val="20"/>
                <w:lang w:val="fr-CA"/>
              </w:rPr>
            </w:pPr>
            <w:r w:rsidRPr="00CD71E6">
              <w:rPr>
                <w:b/>
                <w:bCs/>
                <w:sz w:val="20"/>
                <w:lang w:val="fr-CA"/>
              </w:rPr>
              <w:t>37,00</w:t>
            </w:r>
          </w:p>
        </w:tc>
        <w:tc>
          <w:tcPr>
            <w:tcW w:w="1325" w:type="dxa"/>
            <w:gridSpan w:val="2"/>
            <w:tcBorders>
              <w:top w:val="single" w:sz="12" w:space="0" w:color="auto"/>
              <w:bottom w:val="single" w:sz="12" w:space="0" w:color="auto"/>
            </w:tcBorders>
            <w:vAlign w:val="center"/>
          </w:tcPr>
          <w:p w14:paraId="15A9CC56" w14:textId="4D3BA41B" w:rsidR="0093656E" w:rsidRPr="00CD71E6" w:rsidRDefault="004065E7" w:rsidP="00D21189">
            <w:pPr>
              <w:spacing w:after="0" w:line="240" w:lineRule="auto"/>
              <w:jc w:val="center"/>
              <w:rPr>
                <w:b/>
                <w:sz w:val="20"/>
                <w:lang w:val="fr-CA"/>
              </w:rPr>
            </w:pPr>
            <w:r w:rsidRPr="00CD71E6">
              <w:rPr>
                <w:b/>
                <w:bCs/>
                <w:sz w:val="20"/>
                <w:lang w:val="fr-CA"/>
              </w:rPr>
              <w:t>44 %</w:t>
            </w:r>
          </w:p>
        </w:tc>
        <w:tc>
          <w:tcPr>
            <w:tcW w:w="1326" w:type="dxa"/>
            <w:gridSpan w:val="2"/>
            <w:tcBorders>
              <w:top w:val="single" w:sz="12" w:space="0" w:color="auto"/>
              <w:bottom w:val="single" w:sz="12" w:space="0" w:color="auto"/>
            </w:tcBorders>
            <w:vAlign w:val="center"/>
          </w:tcPr>
          <w:p w14:paraId="2E10BC89" w14:textId="77777777" w:rsidR="0093656E" w:rsidRPr="00CD71E6" w:rsidRDefault="0093656E" w:rsidP="00D21189">
            <w:pPr>
              <w:spacing w:after="0" w:line="240" w:lineRule="auto"/>
              <w:jc w:val="center"/>
              <w:rPr>
                <w:b/>
                <w:sz w:val="20"/>
                <w:lang w:val="fr-CA"/>
              </w:rPr>
            </w:pPr>
          </w:p>
        </w:tc>
      </w:tr>
    </w:tbl>
    <w:p w14:paraId="3232E705" w14:textId="04137E13" w:rsidR="0093656E" w:rsidRPr="00CD71E6" w:rsidRDefault="0093656E" w:rsidP="00D41EEB">
      <w:pPr>
        <w:jc w:val="right"/>
        <w:rPr>
          <w:color w:val="005798"/>
          <w:spacing w:val="20"/>
          <w:sz w:val="18"/>
          <w:szCs w:val="18"/>
          <w:lang w:val="fr-CA"/>
        </w:rPr>
      </w:pPr>
      <w:r w:rsidRPr="00CD71E6">
        <w:rPr>
          <w:sz w:val="18"/>
          <w:szCs w:val="18"/>
          <w:lang w:val="fr-CA"/>
        </w:rPr>
        <w:t>Au 31 mars 2018</w:t>
      </w:r>
    </w:p>
    <w:p w14:paraId="0374C619" w14:textId="77777777" w:rsidR="0093656E" w:rsidRPr="00CD71E6" w:rsidRDefault="0093656E" w:rsidP="0093656E">
      <w:pPr>
        <w:pStyle w:val="Heading3"/>
        <w:jc w:val="both"/>
        <w:rPr>
          <w:lang w:val="fr-CA"/>
        </w:rPr>
      </w:pPr>
      <w:bookmarkStart w:id="52" w:name="_Toc41053707"/>
      <w:r w:rsidRPr="00CD71E6">
        <w:rPr>
          <w:bCs/>
          <w:lang w:val="fr-CA"/>
        </w:rPr>
        <w:t>Embauchage des Inuits comme paraprofessionnels</w:t>
      </w:r>
      <w:bookmarkEnd w:id="52"/>
    </w:p>
    <w:p w14:paraId="2263B0FF" w14:textId="51122612" w:rsidR="00F471FB" w:rsidRPr="00CD71E6" w:rsidRDefault="0093656E" w:rsidP="00017EB2">
      <w:pPr>
        <w:autoSpaceDE w:val="0"/>
        <w:autoSpaceDN w:val="0"/>
        <w:adjustRightInd w:val="0"/>
        <w:rPr>
          <w:rFonts w:cs="Calibri"/>
          <w:color w:val="000000"/>
          <w:kern w:val="0"/>
          <w:szCs w:val="22"/>
          <w:lang w:val="fr-CA"/>
        </w:rPr>
      </w:pPr>
      <w:r w:rsidRPr="00CD71E6">
        <w:rPr>
          <w:rFonts w:cs="Calibri"/>
          <w:color w:val="000000"/>
          <w:kern w:val="0"/>
          <w:szCs w:val="22"/>
          <w:lang w:val="fr-CA"/>
        </w:rPr>
        <w:t xml:space="preserve">Pour la catégorie d’emploi des paraprofessionnels, le Collège a relevé un total de 6,00 postes ETP pour l’embauchage potentiel d’Inuits. Des 6,00 postes ETP, 5,00 postes ETP ont été pourvus, et 2,00 postes ETP l’ont été par des Inuits. Un domaine de croissance potentielle dans cette catégorie serait les postes liés aux conseillers aux étudiants dans chacune des régions. </w:t>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83"/>
        <w:gridCol w:w="42"/>
        <w:gridCol w:w="1241"/>
        <w:gridCol w:w="84"/>
        <w:gridCol w:w="1199"/>
        <w:gridCol w:w="126"/>
        <w:gridCol w:w="1157"/>
        <w:gridCol w:w="168"/>
        <w:gridCol w:w="1115"/>
        <w:gridCol w:w="211"/>
      </w:tblGrid>
      <w:tr w:rsidR="0093656E" w:rsidRPr="00CD71E6" w14:paraId="4FA7CC1C" w14:textId="77777777" w:rsidTr="00D21189">
        <w:trPr>
          <w:gridAfter w:val="1"/>
          <w:wAfter w:w="211" w:type="dxa"/>
          <w:trHeight w:val="274"/>
        </w:trPr>
        <w:tc>
          <w:tcPr>
            <w:tcW w:w="2970" w:type="dxa"/>
            <w:vMerge w:val="restart"/>
            <w:shd w:val="clear" w:color="auto" w:fill="auto"/>
            <w:vAlign w:val="center"/>
          </w:tcPr>
          <w:p w14:paraId="5ED801A8" w14:textId="77777777" w:rsidR="0093656E" w:rsidRPr="00CD71E6" w:rsidRDefault="0093656E" w:rsidP="00D21189">
            <w:pPr>
              <w:spacing w:after="0" w:line="240" w:lineRule="auto"/>
              <w:rPr>
                <w:b/>
                <w:sz w:val="20"/>
                <w:lang w:val="fr-CA"/>
              </w:rPr>
            </w:pPr>
          </w:p>
        </w:tc>
        <w:tc>
          <w:tcPr>
            <w:tcW w:w="6415" w:type="dxa"/>
            <w:gridSpan w:val="9"/>
            <w:shd w:val="clear" w:color="auto" w:fill="000000" w:themeFill="text1"/>
            <w:vAlign w:val="center"/>
          </w:tcPr>
          <w:p w14:paraId="1FC47ACD" w14:textId="77777777" w:rsidR="0093656E" w:rsidRPr="00CD71E6" w:rsidRDefault="0093656E" w:rsidP="00D21189">
            <w:pPr>
              <w:spacing w:after="0" w:line="240" w:lineRule="auto"/>
              <w:jc w:val="center"/>
              <w:rPr>
                <w:b/>
                <w:color w:val="FFFFFF" w:themeColor="background1"/>
                <w:sz w:val="20"/>
                <w:lang w:val="fr-CA"/>
              </w:rPr>
            </w:pPr>
            <w:r w:rsidRPr="00CD71E6">
              <w:rPr>
                <w:b/>
                <w:bCs/>
                <w:color w:val="FFFFFF" w:themeColor="background1"/>
                <w:sz w:val="20"/>
                <w:lang w:val="fr-CA"/>
              </w:rPr>
              <w:t>Paraprofessionnels</w:t>
            </w:r>
          </w:p>
        </w:tc>
      </w:tr>
      <w:tr w:rsidR="0093656E" w:rsidRPr="00CD71E6" w14:paraId="756369CE" w14:textId="77777777" w:rsidTr="00D21189">
        <w:trPr>
          <w:gridAfter w:val="1"/>
          <w:wAfter w:w="211" w:type="dxa"/>
          <w:trHeight w:val="274"/>
        </w:trPr>
        <w:tc>
          <w:tcPr>
            <w:tcW w:w="2970" w:type="dxa"/>
            <w:vMerge/>
            <w:shd w:val="clear" w:color="auto" w:fill="auto"/>
            <w:vAlign w:val="center"/>
          </w:tcPr>
          <w:p w14:paraId="734E2C81" w14:textId="77777777" w:rsidR="0093656E" w:rsidRPr="00CD71E6" w:rsidRDefault="0093656E" w:rsidP="00D21189">
            <w:pPr>
              <w:spacing w:after="0" w:line="240" w:lineRule="auto"/>
              <w:rPr>
                <w:sz w:val="20"/>
                <w:lang w:val="fr-CA"/>
              </w:rPr>
            </w:pPr>
          </w:p>
        </w:tc>
        <w:tc>
          <w:tcPr>
            <w:tcW w:w="1283" w:type="dxa"/>
            <w:shd w:val="clear" w:color="auto" w:fill="000000" w:themeFill="text1"/>
            <w:vAlign w:val="center"/>
          </w:tcPr>
          <w:p w14:paraId="190E4501"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Nombre total de postes</w:t>
            </w:r>
          </w:p>
        </w:tc>
        <w:tc>
          <w:tcPr>
            <w:tcW w:w="1283" w:type="dxa"/>
            <w:gridSpan w:val="2"/>
            <w:shd w:val="clear" w:color="auto" w:fill="000000" w:themeFill="text1"/>
            <w:vAlign w:val="center"/>
          </w:tcPr>
          <w:p w14:paraId="5379FFAB" w14:textId="6D9AE056"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Nombre de</w:t>
            </w:r>
            <w:r w:rsidR="00356916">
              <w:rPr>
                <w:rFonts w:cs="Times New Roman"/>
                <w:color w:val="FFFFFF" w:themeColor="background1"/>
                <w:sz w:val="18"/>
                <w:szCs w:val="18"/>
                <w:lang w:val="fr-CA"/>
              </w:rPr>
              <w:t> </w:t>
            </w:r>
            <w:r w:rsidR="00356916" w:rsidRPr="00CD71E6" w:rsidDel="00356916">
              <w:rPr>
                <w:color w:val="FFFFFF" w:themeColor="background1"/>
                <w:sz w:val="18"/>
                <w:szCs w:val="18"/>
                <w:lang w:val="fr-CA"/>
              </w:rPr>
              <w:t xml:space="preserve"> </w:t>
            </w:r>
            <w:r w:rsidRPr="00CD71E6">
              <w:rPr>
                <w:color w:val="FFFFFF" w:themeColor="background1"/>
                <w:sz w:val="18"/>
                <w:szCs w:val="18"/>
                <w:lang w:val="fr-CA"/>
              </w:rPr>
              <w:t>postes pourvus</w:t>
            </w:r>
          </w:p>
        </w:tc>
        <w:tc>
          <w:tcPr>
            <w:tcW w:w="1283" w:type="dxa"/>
            <w:gridSpan w:val="2"/>
            <w:shd w:val="clear" w:color="auto" w:fill="000000" w:themeFill="text1"/>
            <w:vAlign w:val="center"/>
          </w:tcPr>
          <w:p w14:paraId="0A5227D4"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Emplois occupés par des Inuits</w:t>
            </w:r>
          </w:p>
        </w:tc>
        <w:tc>
          <w:tcPr>
            <w:tcW w:w="1283" w:type="dxa"/>
            <w:gridSpan w:val="2"/>
            <w:shd w:val="clear" w:color="auto" w:fill="000000" w:themeFill="text1"/>
            <w:vAlign w:val="center"/>
          </w:tcPr>
          <w:p w14:paraId="0CCEA84A"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 EI</w:t>
            </w:r>
          </w:p>
        </w:tc>
        <w:tc>
          <w:tcPr>
            <w:tcW w:w="1283" w:type="dxa"/>
            <w:gridSpan w:val="2"/>
            <w:shd w:val="clear" w:color="auto" w:fill="000000" w:themeFill="text1"/>
            <w:vAlign w:val="center"/>
          </w:tcPr>
          <w:p w14:paraId="6F1AE22A" w14:textId="77777777" w:rsidR="0093656E" w:rsidRPr="00CD71E6" w:rsidRDefault="0093656E" w:rsidP="00D21189">
            <w:pPr>
              <w:spacing w:after="0" w:line="240" w:lineRule="auto"/>
              <w:jc w:val="center"/>
              <w:rPr>
                <w:color w:val="FFFFFF" w:themeColor="background1"/>
                <w:sz w:val="18"/>
                <w:szCs w:val="18"/>
                <w:lang w:val="fr-CA"/>
              </w:rPr>
            </w:pPr>
            <w:r w:rsidRPr="00CD71E6">
              <w:rPr>
                <w:color w:val="FFFFFF" w:themeColor="background1"/>
                <w:sz w:val="18"/>
                <w:szCs w:val="18"/>
                <w:lang w:val="fr-CA"/>
              </w:rPr>
              <w:t>CNP</w:t>
            </w:r>
          </w:p>
        </w:tc>
      </w:tr>
      <w:tr w:rsidR="0093656E" w:rsidRPr="00CD71E6" w14:paraId="01F348F1" w14:textId="77777777" w:rsidTr="00D21189">
        <w:trPr>
          <w:trHeight w:val="288"/>
        </w:trPr>
        <w:tc>
          <w:tcPr>
            <w:tcW w:w="2970" w:type="dxa"/>
            <w:shd w:val="clear" w:color="auto" w:fill="auto"/>
            <w:vAlign w:val="center"/>
          </w:tcPr>
          <w:p w14:paraId="01DEEA1E" w14:textId="3E592C1F" w:rsidR="0093656E" w:rsidRPr="00CD71E6" w:rsidRDefault="00764962" w:rsidP="00D21189">
            <w:pPr>
              <w:spacing w:after="0" w:line="240" w:lineRule="auto"/>
              <w:jc w:val="right"/>
              <w:rPr>
                <w:sz w:val="20"/>
                <w:lang w:val="fr-CA"/>
              </w:rPr>
            </w:pPr>
            <w:r w:rsidRPr="00CD71E6">
              <w:rPr>
                <w:sz w:val="20"/>
                <w:lang w:val="fr-CA"/>
              </w:rPr>
              <w:t>Différents postes d’administrateurs</w:t>
            </w:r>
          </w:p>
        </w:tc>
        <w:tc>
          <w:tcPr>
            <w:tcW w:w="1325" w:type="dxa"/>
            <w:gridSpan w:val="2"/>
            <w:vAlign w:val="center"/>
          </w:tcPr>
          <w:p w14:paraId="5FC83220" w14:textId="11E0180A" w:rsidR="0093656E" w:rsidRPr="00CD71E6" w:rsidRDefault="00764962" w:rsidP="00D21189">
            <w:pPr>
              <w:spacing w:after="0" w:line="240" w:lineRule="auto"/>
              <w:jc w:val="center"/>
              <w:rPr>
                <w:sz w:val="20"/>
                <w:lang w:val="fr-CA"/>
              </w:rPr>
            </w:pPr>
            <w:r w:rsidRPr="00CD71E6">
              <w:rPr>
                <w:sz w:val="20"/>
                <w:lang w:val="fr-CA"/>
              </w:rPr>
              <w:t>2,00</w:t>
            </w:r>
          </w:p>
        </w:tc>
        <w:tc>
          <w:tcPr>
            <w:tcW w:w="1325" w:type="dxa"/>
            <w:gridSpan w:val="2"/>
            <w:vAlign w:val="center"/>
          </w:tcPr>
          <w:p w14:paraId="1E37DC6E" w14:textId="400C3180" w:rsidR="0093656E" w:rsidRPr="00CD71E6" w:rsidRDefault="008F23D3" w:rsidP="00D21189">
            <w:pPr>
              <w:spacing w:after="0" w:line="240" w:lineRule="auto"/>
              <w:jc w:val="center"/>
              <w:rPr>
                <w:sz w:val="20"/>
                <w:lang w:val="fr-CA"/>
              </w:rPr>
            </w:pPr>
            <w:r w:rsidRPr="00CD71E6">
              <w:rPr>
                <w:sz w:val="20"/>
                <w:lang w:val="fr-CA"/>
              </w:rPr>
              <w:t>1</w:t>
            </w:r>
            <w:r w:rsidR="009A742D">
              <w:rPr>
                <w:sz w:val="20"/>
                <w:lang w:val="fr-CA"/>
              </w:rPr>
              <w:t>,00</w:t>
            </w:r>
          </w:p>
        </w:tc>
        <w:tc>
          <w:tcPr>
            <w:tcW w:w="1325" w:type="dxa"/>
            <w:gridSpan w:val="2"/>
            <w:vAlign w:val="center"/>
          </w:tcPr>
          <w:p w14:paraId="60103A88" w14:textId="64A9ECF6" w:rsidR="0093656E" w:rsidRPr="00CD71E6" w:rsidRDefault="008F23D3" w:rsidP="00D21189">
            <w:pPr>
              <w:spacing w:after="0" w:line="240" w:lineRule="auto"/>
              <w:jc w:val="center"/>
              <w:rPr>
                <w:sz w:val="20"/>
                <w:lang w:val="fr-CA"/>
              </w:rPr>
            </w:pPr>
            <w:r w:rsidRPr="00CD71E6">
              <w:rPr>
                <w:sz w:val="20"/>
                <w:lang w:val="fr-CA"/>
              </w:rPr>
              <w:t>1</w:t>
            </w:r>
            <w:r w:rsidR="009A742D">
              <w:rPr>
                <w:sz w:val="20"/>
                <w:lang w:val="fr-CA"/>
              </w:rPr>
              <w:t>,00</w:t>
            </w:r>
          </w:p>
        </w:tc>
        <w:tc>
          <w:tcPr>
            <w:tcW w:w="1325" w:type="dxa"/>
            <w:gridSpan w:val="2"/>
            <w:vAlign w:val="center"/>
          </w:tcPr>
          <w:p w14:paraId="69A253B0" w14:textId="77777777" w:rsidR="0093656E" w:rsidRPr="00CD71E6" w:rsidRDefault="0093656E" w:rsidP="00D21189">
            <w:pPr>
              <w:spacing w:after="0" w:line="240" w:lineRule="auto"/>
              <w:jc w:val="center"/>
              <w:rPr>
                <w:sz w:val="20"/>
                <w:lang w:val="fr-CA"/>
              </w:rPr>
            </w:pPr>
            <w:r w:rsidRPr="00CD71E6">
              <w:rPr>
                <w:sz w:val="20"/>
                <w:lang w:val="fr-CA"/>
              </w:rPr>
              <w:t>100 %</w:t>
            </w:r>
          </w:p>
        </w:tc>
        <w:tc>
          <w:tcPr>
            <w:tcW w:w="1326" w:type="dxa"/>
            <w:gridSpan w:val="2"/>
            <w:vAlign w:val="center"/>
          </w:tcPr>
          <w:p w14:paraId="13717071" w14:textId="443D106B" w:rsidR="0093656E" w:rsidRPr="00CD71E6" w:rsidRDefault="00A51CD2" w:rsidP="00D21189">
            <w:pPr>
              <w:spacing w:after="0" w:line="240" w:lineRule="auto"/>
              <w:jc w:val="center"/>
              <w:rPr>
                <w:sz w:val="20"/>
                <w:lang w:val="fr-CA"/>
              </w:rPr>
            </w:pPr>
            <w:r w:rsidRPr="00CD71E6">
              <w:rPr>
                <w:sz w:val="20"/>
                <w:lang w:val="fr-CA"/>
              </w:rPr>
              <w:t>0421</w:t>
            </w:r>
          </w:p>
        </w:tc>
      </w:tr>
      <w:tr w:rsidR="0093656E" w:rsidRPr="00CD71E6" w14:paraId="5140932F" w14:textId="77777777" w:rsidTr="00D21189">
        <w:trPr>
          <w:trHeight w:val="288"/>
        </w:trPr>
        <w:tc>
          <w:tcPr>
            <w:tcW w:w="2970" w:type="dxa"/>
            <w:shd w:val="clear" w:color="auto" w:fill="auto"/>
            <w:vAlign w:val="center"/>
          </w:tcPr>
          <w:p w14:paraId="23D1E98F" w14:textId="77777777" w:rsidR="0093656E" w:rsidRPr="00CD71E6" w:rsidRDefault="0093656E" w:rsidP="00D21189">
            <w:pPr>
              <w:spacing w:after="0" w:line="240" w:lineRule="auto"/>
              <w:jc w:val="right"/>
              <w:rPr>
                <w:sz w:val="20"/>
                <w:lang w:val="fr-CA"/>
              </w:rPr>
            </w:pPr>
            <w:r w:rsidRPr="00CD71E6">
              <w:rPr>
                <w:sz w:val="20"/>
                <w:lang w:val="fr-CA"/>
              </w:rPr>
              <w:t>Conseillers</w:t>
            </w:r>
          </w:p>
        </w:tc>
        <w:tc>
          <w:tcPr>
            <w:tcW w:w="1325" w:type="dxa"/>
            <w:gridSpan w:val="2"/>
            <w:vAlign w:val="center"/>
          </w:tcPr>
          <w:p w14:paraId="46F9DB08" w14:textId="75ABAC0A" w:rsidR="0093656E" w:rsidRPr="00CD71E6" w:rsidRDefault="00FC56C0" w:rsidP="00D21189">
            <w:pPr>
              <w:spacing w:after="0" w:line="240" w:lineRule="auto"/>
              <w:jc w:val="center"/>
              <w:rPr>
                <w:sz w:val="20"/>
                <w:lang w:val="fr-CA"/>
              </w:rPr>
            </w:pPr>
            <w:r w:rsidRPr="00CD71E6">
              <w:rPr>
                <w:sz w:val="20"/>
                <w:lang w:val="fr-CA"/>
              </w:rPr>
              <w:t>3,00</w:t>
            </w:r>
          </w:p>
        </w:tc>
        <w:tc>
          <w:tcPr>
            <w:tcW w:w="1325" w:type="dxa"/>
            <w:gridSpan w:val="2"/>
            <w:vAlign w:val="center"/>
          </w:tcPr>
          <w:p w14:paraId="7A5491B4" w14:textId="55F3ED4C" w:rsidR="0093656E" w:rsidRPr="00CD71E6" w:rsidRDefault="00FC56C0" w:rsidP="00D21189">
            <w:pPr>
              <w:spacing w:after="0" w:line="240" w:lineRule="auto"/>
              <w:jc w:val="center"/>
              <w:rPr>
                <w:sz w:val="20"/>
                <w:lang w:val="fr-CA"/>
              </w:rPr>
            </w:pPr>
            <w:r w:rsidRPr="00CD71E6">
              <w:rPr>
                <w:sz w:val="20"/>
                <w:lang w:val="fr-CA"/>
              </w:rPr>
              <w:t>3,00</w:t>
            </w:r>
          </w:p>
        </w:tc>
        <w:tc>
          <w:tcPr>
            <w:tcW w:w="1325" w:type="dxa"/>
            <w:gridSpan w:val="2"/>
            <w:vAlign w:val="center"/>
          </w:tcPr>
          <w:p w14:paraId="19669164" w14:textId="09E36B95" w:rsidR="0093656E" w:rsidRPr="00CD71E6" w:rsidRDefault="00FC56C0" w:rsidP="00D21189">
            <w:pPr>
              <w:spacing w:after="0" w:line="240" w:lineRule="auto"/>
              <w:jc w:val="center"/>
              <w:rPr>
                <w:sz w:val="20"/>
                <w:lang w:val="fr-CA"/>
              </w:rPr>
            </w:pPr>
            <w:r w:rsidRPr="00CD71E6">
              <w:rPr>
                <w:sz w:val="20"/>
                <w:lang w:val="fr-CA"/>
              </w:rPr>
              <w:t>0,00</w:t>
            </w:r>
          </w:p>
        </w:tc>
        <w:tc>
          <w:tcPr>
            <w:tcW w:w="1325" w:type="dxa"/>
            <w:gridSpan w:val="2"/>
            <w:vAlign w:val="center"/>
          </w:tcPr>
          <w:p w14:paraId="0EE46B7E" w14:textId="74A2E6FA" w:rsidR="0093656E" w:rsidRPr="00CD71E6" w:rsidRDefault="00FC56C0" w:rsidP="00D21189">
            <w:pPr>
              <w:spacing w:after="0" w:line="240" w:lineRule="auto"/>
              <w:jc w:val="center"/>
              <w:rPr>
                <w:sz w:val="20"/>
                <w:lang w:val="fr-CA"/>
              </w:rPr>
            </w:pPr>
            <w:r w:rsidRPr="00CD71E6">
              <w:rPr>
                <w:sz w:val="20"/>
                <w:lang w:val="fr-CA"/>
              </w:rPr>
              <w:t>0 %</w:t>
            </w:r>
          </w:p>
        </w:tc>
        <w:tc>
          <w:tcPr>
            <w:tcW w:w="1326" w:type="dxa"/>
            <w:gridSpan w:val="2"/>
            <w:vAlign w:val="center"/>
          </w:tcPr>
          <w:p w14:paraId="6BFC8328" w14:textId="77777777" w:rsidR="0093656E" w:rsidRPr="00CD71E6" w:rsidRDefault="0093656E" w:rsidP="00D21189">
            <w:pPr>
              <w:spacing w:after="0" w:line="240" w:lineRule="auto"/>
              <w:jc w:val="center"/>
              <w:rPr>
                <w:sz w:val="20"/>
                <w:lang w:val="fr-CA"/>
              </w:rPr>
            </w:pPr>
            <w:r w:rsidRPr="00CD71E6">
              <w:rPr>
                <w:sz w:val="20"/>
                <w:lang w:val="fr-CA"/>
              </w:rPr>
              <w:t>4033</w:t>
            </w:r>
          </w:p>
        </w:tc>
      </w:tr>
      <w:tr w:rsidR="0093656E" w:rsidRPr="00CD71E6" w14:paraId="6F714298" w14:textId="77777777" w:rsidTr="00D21189">
        <w:trPr>
          <w:trHeight w:val="288"/>
        </w:trPr>
        <w:tc>
          <w:tcPr>
            <w:tcW w:w="2970" w:type="dxa"/>
            <w:shd w:val="clear" w:color="auto" w:fill="auto"/>
            <w:vAlign w:val="center"/>
          </w:tcPr>
          <w:p w14:paraId="355B6371" w14:textId="30C2B7AB" w:rsidR="0093656E" w:rsidRPr="00CD71E6" w:rsidRDefault="00764962" w:rsidP="00D21189">
            <w:pPr>
              <w:spacing w:after="0" w:line="240" w:lineRule="auto"/>
              <w:jc w:val="right"/>
              <w:rPr>
                <w:sz w:val="20"/>
                <w:lang w:val="fr-CA"/>
              </w:rPr>
            </w:pPr>
            <w:r w:rsidRPr="00CD71E6">
              <w:rPr>
                <w:sz w:val="20"/>
                <w:lang w:val="fr-CA"/>
              </w:rPr>
              <w:t>Autres postes</w:t>
            </w:r>
          </w:p>
        </w:tc>
        <w:tc>
          <w:tcPr>
            <w:tcW w:w="1325" w:type="dxa"/>
            <w:gridSpan w:val="2"/>
            <w:vAlign w:val="center"/>
          </w:tcPr>
          <w:p w14:paraId="0E02B913" w14:textId="2883F956" w:rsidR="0093656E" w:rsidRPr="00CD71E6" w:rsidRDefault="009416A8" w:rsidP="00D21189">
            <w:pPr>
              <w:spacing w:after="0" w:line="240" w:lineRule="auto"/>
              <w:jc w:val="center"/>
              <w:rPr>
                <w:sz w:val="20"/>
                <w:lang w:val="fr-CA"/>
              </w:rPr>
            </w:pPr>
            <w:r w:rsidRPr="00CD71E6">
              <w:rPr>
                <w:sz w:val="20"/>
                <w:lang w:val="fr-CA"/>
              </w:rPr>
              <w:t>1,00</w:t>
            </w:r>
          </w:p>
        </w:tc>
        <w:tc>
          <w:tcPr>
            <w:tcW w:w="1325" w:type="dxa"/>
            <w:gridSpan w:val="2"/>
            <w:vAlign w:val="center"/>
          </w:tcPr>
          <w:p w14:paraId="1982CB45" w14:textId="6A011D19" w:rsidR="0093656E" w:rsidRPr="00CD71E6" w:rsidRDefault="00906164" w:rsidP="00D21189">
            <w:pPr>
              <w:spacing w:after="0" w:line="240" w:lineRule="auto"/>
              <w:jc w:val="center"/>
              <w:rPr>
                <w:sz w:val="20"/>
                <w:lang w:val="fr-CA"/>
              </w:rPr>
            </w:pPr>
            <w:r w:rsidRPr="00CD71E6">
              <w:rPr>
                <w:sz w:val="20"/>
                <w:lang w:val="fr-CA"/>
              </w:rPr>
              <w:t>1,00</w:t>
            </w:r>
          </w:p>
        </w:tc>
        <w:tc>
          <w:tcPr>
            <w:tcW w:w="1325" w:type="dxa"/>
            <w:gridSpan w:val="2"/>
            <w:vAlign w:val="center"/>
          </w:tcPr>
          <w:p w14:paraId="49BCE6D7" w14:textId="2FEB690F" w:rsidR="0093656E" w:rsidRPr="00CD71E6" w:rsidRDefault="00906164" w:rsidP="00D21189">
            <w:pPr>
              <w:spacing w:after="0" w:line="240" w:lineRule="auto"/>
              <w:jc w:val="center"/>
              <w:rPr>
                <w:sz w:val="20"/>
                <w:lang w:val="fr-CA"/>
              </w:rPr>
            </w:pPr>
            <w:r w:rsidRPr="00CD71E6">
              <w:rPr>
                <w:sz w:val="20"/>
                <w:lang w:val="fr-CA"/>
              </w:rPr>
              <w:t>1</w:t>
            </w:r>
            <w:r w:rsidR="009A742D">
              <w:rPr>
                <w:sz w:val="20"/>
                <w:lang w:val="fr-CA"/>
              </w:rPr>
              <w:t>,00</w:t>
            </w:r>
          </w:p>
        </w:tc>
        <w:tc>
          <w:tcPr>
            <w:tcW w:w="1325" w:type="dxa"/>
            <w:gridSpan w:val="2"/>
            <w:vAlign w:val="center"/>
          </w:tcPr>
          <w:p w14:paraId="6EF09899" w14:textId="1C658EFB" w:rsidR="0093656E" w:rsidRPr="00CD71E6" w:rsidRDefault="00906164" w:rsidP="00D21189">
            <w:pPr>
              <w:spacing w:after="0" w:line="240" w:lineRule="auto"/>
              <w:jc w:val="center"/>
              <w:rPr>
                <w:sz w:val="20"/>
                <w:lang w:val="fr-CA"/>
              </w:rPr>
            </w:pPr>
            <w:r w:rsidRPr="00CD71E6">
              <w:rPr>
                <w:sz w:val="20"/>
                <w:lang w:val="fr-CA"/>
              </w:rPr>
              <w:t>100 %</w:t>
            </w:r>
          </w:p>
        </w:tc>
        <w:tc>
          <w:tcPr>
            <w:tcW w:w="1326" w:type="dxa"/>
            <w:gridSpan w:val="2"/>
            <w:vAlign w:val="center"/>
          </w:tcPr>
          <w:p w14:paraId="1F1B2543" w14:textId="77777777" w:rsidR="0093656E" w:rsidRPr="00CD71E6" w:rsidRDefault="0093656E" w:rsidP="00D21189">
            <w:pPr>
              <w:spacing w:after="0" w:line="240" w:lineRule="auto"/>
              <w:jc w:val="center"/>
              <w:rPr>
                <w:sz w:val="20"/>
                <w:lang w:val="fr-CA"/>
              </w:rPr>
            </w:pPr>
            <w:r w:rsidRPr="00CD71E6">
              <w:rPr>
                <w:sz w:val="20"/>
                <w:lang w:val="fr-CA"/>
              </w:rPr>
              <w:t>4166</w:t>
            </w:r>
          </w:p>
        </w:tc>
      </w:tr>
      <w:tr w:rsidR="0093656E" w:rsidRPr="00CD71E6" w14:paraId="3555D740" w14:textId="77777777" w:rsidTr="00D21189">
        <w:trPr>
          <w:trHeight w:val="288"/>
        </w:trPr>
        <w:tc>
          <w:tcPr>
            <w:tcW w:w="2970" w:type="dxa"/>
            <w:tcBorders>
              <w:top w:val="single" w:sz="12" w:space="0" w:color="auto"/>
              <w:bottom w:val="single" w:sz="12" w:space="0" w:color="auto"/>
            </w:tcBorders>
            <w:shd w:val="clear" w:color="auto" w:fill="auto"/>
            <w:vAlign w:val="center"/>
          </w:tcPr>
          <w:p w14:paraId="6714B774" w14:textId="77777777" w:rsidR="0093656E" w:rsidRPr="00CD71E6" w:rsidRDefault="0093656E" w:rsidP="00D21189">
            <w:pPr>
              <w:spacing w:after="0" w:line="240" w:lineRule="auto"/>
              <w:jc w:val="right"/>
              <w:rPr>
                <w:b/>
                <w:sz w:val="20"/>
                <w:lang w:val="fr-CA"/>
              </w:rPr>
            </w:pPr>
            <w:r w:rsidRPr="00CD71E6">
              <w:rPr>
                <w:b/>
                <w:bCs/>
                <w:sz w:val="20"/>
                <w:lang w:val="fr-CA"/>
              </w:rPr>
              <w:t>Nombre total de postes</w:t>
            </w:r>
          </w:p>
        </w:tc>
        <w:tc>
          <w:tcPr>
            <w:tcW w:w="1325" w:type="dxa"/>
            <w:gridSpan w:val="2"/>
            <w:tcBorders>
              <w:top w:val="single" w:sz="12" w:space="0" w:color="auto"/>
              <w:bottom w:val="single" w:sz="12" w:space="0" w:color="auto"/>
            </w:tcBorders>
            <w:vAlign w:val="center"/>
          </w:tcPr>
          <w:p w14:paraId="20CECF1C" w14:textId="7F2AE53B" w:rsidR="0093656E" w:rsidRPr="00CD71E6" w:rsidRDefault="00906164" w:rsidP="00D21189">
            <w:pPr>
              <w:spacing w:after="0" w:line="240" w:lineRule="auto"/>
              <w:jc w:val="center"/>
              <w:rPr>
                <w:b/>
                <w:sz w:val="20"/>
                <w:lang w:val="fr-CA"/>
              </w:rPr>
            </w:pPr>
            <w:r w:rsidRPr="00CD71E6">
              <w:rPr>
                <w:b/>
                <w:bCs/>
                <w:sz w:val="20"/>
                <w:lang w:val="fr-CA"/>
              </w:rPr>
              <w:t>6,00</w:t>
            </w:r>
          </w:p>
        </w:tc>
        <w:tc>
          <w:tcPr>
            <w:tcW w:w="1325" w:type="dxa"/>
            <w:gridSpan w:val="2"/>
            <w:tcBorders>
              <w:top w:val="single" w:sz="12" w:space="0" w:color="auto"/>
              <w:bottom w:val="single" w:sz="12" w:space="0" w:color="auto"/>
            </w:tcBorders>
            <w:vAlign w:val="center"/>
          </w:tcPr>
          <w:p w14:paraId="38EC2337" w14:textId="2BA91586" w:rsidR="0093656E" w:rsidRPr="00CD71E6" w:rsidRDefault="00906164" w:rsidP="00D21189">
            <w:pPr>
              <w:spacing w:after="0" w:line="240" w:lineRule="auto"/>
              <w:jc w:val="center"/>
              <w:rPr>
                <w:b/>
                <w:sz w:val="20"/>
                <w:lang w:val="fr-CA"/>
              </w:rPr>
            </w:pPr>
            <w:r w:rsidRPr="00CD71E6">
              <w:rPr>
                <w:b/>
                <w:bCs/>
                <w:sz w:val="20"/>
                <w:lang w:val="fr-CA"/>
              </w:rPr>
              <w:t>5,00</w:t>
            </w:r>
          </w:p>
        </w:tc>
        <w:tc>
          <w:tcPr>
            <w:tcW w:w="1325" w:type="dxa"/>
            <w:gridSpan w:val="2"/>
            <w:tcBorders>
              <w:top w:val="single" w:sz="12" w:space="0" w:color="auto"/>
              <w:bottom w:val="single" w:sz="12" w:space="0" w:color="auto"/>
            </w:tcBorders>
            <w:vAlign w:val="center"/>
          </w:tcPr>
          <w:p w14:paraId="560FB7BE" w14:textId="10AB90B9" w:rsidR="0093656E" w:rsidRPr="00CD71E6" w:rsidRDefault="00906164" w:rsidP="00D21189">
            <w:pPr>
              <w:spacing w:after="0" w:line="240" w:lineRule="auto"/>
              <w:jc w:val="center"/>
              <w:rPr>
                <w:b/>
                <w:sz w:val="20"/>
                <w:lang w:val="fr-CA"/>
              </w:rPr>
            </w:pPr>
            <w:r w:rsidRPr="00CD71E6">
              <w:rPr>
                <w:b/>
                <w:bCs/>
                <w:sz w:val="20"/>
                <w:lang w:val="fr-CA"/>
              </w:rPr>
              <w:t>2,00</w:t>
            </w:r>
          </w:p>
        </w:tc>
        <w:tc>
          <w:tcPr>
            <w:tcW w:w="1325" w:type="dxa"/>
            <w:gridSpan w:val="2"/>
            <w:tcBorders>
              <w:top w:val="single" w:sz="12" w:space="0" w:color="auto"/>
              <w:bottom w:val="single" w:sz="12" w:space="0" w:color="auto"/>
            </w:tcBorders>
            <w:vAlign w:val="center"/>
          </w:tcPr>
          <w:p w14:paraId="3408C7CB" w14:textId="271F0B8D" w:rsidR="0093656E" w:rsidRPr="00CD71E6" w:rsidRDefault="00AE418D" w:rsidP="00D21189">
            <w:pPr>
              <w:spacing w:after="0" w:line="240" w:lineRule="auto"/>
              <w:jc w:val="center"/>
              <w:rPr>
                <w:b/>
                <w:sz w:val="20"/>
                <w:lang w:val="fr-CA"/>
              </w:rPr>
            </w:pPr>
            <w:r w:rsidRPr="00CD71E6">
              <w:rPr>
                <w:b/>
                <w:bCs/>
                <w:sz w:val="20"/>
                <w:lang w:val="fr-CA"/>
              </w:rPr>
              <w:t>40 %</w:t>
            </w:r>
          </w:p>
        </w:tc>
        <w:tc>
          <w:tcPr>
            <w:tcW w:w="1326" w:type="dxa"/>
            <w:gridSpan w:val="2"/>
            <w:tcBorders>
              <w:top w:val="single" w:sz="12" w:space="0" w:color="auto"/>
              <w:bottom w:val="single" w:sz="12" w:space="0" w:color="auto"/>
            </w:tcBorders>
            <w:vAlign w:val="center"/>
          </w:tcPr>
          <w:p w14:paraId="4FE5936F" w14:textId="77777777" w:rsidR="0093656E" w:rsidRPr="00CD71E6" w:rsidRDefault="0093656E" w:rsidP="00D21189">
            <w:pPr>
              <w:spacing w:after="0" w:line="240" w:lineRule="auto"/>
              <w:jc w:val="center"/>
              <w:rPr>
                <w:b/>
                <w:sz w:val="20"/>
                <w:lang w:val="fr-CA"/>
              </w:rPr>
            </w:pPr>
          </w:p>
        </w:tc>
      </w:tr>
    </w:tbl>
    <w:p w14:paraId="392F887E" w14:textId="6D0AF471" w:rsidR="0093656E" w:rsidRPr="00CD71E6" w:rsidRDefault="0093656E" w:rsidP="0093656E">
      <w:pPr>
        <w:jc w:val="right"/>
        <w:rPr>
          <w:color w:val="005798"/>
          <w:spacing w:val="20"/>
          <w:sz w:val="28"/>
          <w:szCs w:val="28"/>
          <w:lang w:val="fr-CA"/>
        </w:rPr>
      </w:pPr>
      <w:r w:rsidRPr="00CD71E6">
        <w:rPr>
          <w:sz w:val="18"/>
          <w:lang w:val="fr-CA"/>
        </w:rPr>
        <w:t>Au 31 mars 2018</w:t>
      </w:r>
    </w:p>
    <w:p w14:paraId="6F94263B" w14:textId="5DF466DD" w:rsidR="0093656E" w:rsidRPr="00CD71E6" w:rsidRDefault="0093656E" w:rsidP="003F226B">
      <w:pPr>
        <w:pStyle w:val="Heading3"/>
        <w:rPr>
          <w:lang w:val="fr-CA"/>
        </w:rPr>
      </w:pPr>
      <w:bookmarkStart w:id="53" w:name="_Toc505763744"/>
      <w:bookmarkStart w:id="54" w:name="_Toc41053708"/>
      <w:r w:rsidRPr="00CD71E6">
        <w:rPr>
          <w:bCs/>
          <w:lang w:val="fr-CA"/>
        </w:rPr>
        <w:t>Embauchage des Inuits dans le soutien administratif</w:t>
      </w:r>
      <w:bookmarkEnd w:id="53"/>
      <w:bookmarkEnd w:id="54"/>
    </w:p>
    <w:p w14:paraId="05EFEC2A" w14:textId="4CD03099" w:rsidR="009946F4" w:rsidRPr="00CD71E6" w:rsidRDefault="0093656E" w:rsidP="00017EB2">
      <w:pPr>
        <w:autoSpaceDE w:val="0"/>
        <w:autoSpaceDN w:val="0"/>
        <w:adjustRightInd w:val="0"/>
        <w:rPr>
          <w:rFonts w:cs="Calibri"/>
          <w:color w:val="000000"/>
          <w:kern w:val="0"/>
          <w:szCs w:val="22"/>
          <w:lang w:val="fr-CA"/>
        </w:rPr>
      </w:pPr>
      <w:r w:rsidRPr="00CD71E6">
        <w:rPr>
          <w:rFonts w:cs="Calibri"/>
          <w:color w:val="000000"/>
          <w:kern w:val="0"/>
          <w:szCs w:val="22"/>
          <w:lang w:val="fr-CA"/>
        </w:rPr>
        <w:t xml:space="preserve">Pour la catégorie d’emploi du soutien administratif, le Collège a relevé un total de 18,00 postes ETP </w:t>
      </w:r>
      <w:r w:rsidR="00AE7BCC" w:rsidRPr="00CD71E6">
        <w:rPr>
          <w:rFonts w:cs="Calibri"/>
          <w:color w:val="000000"/>
          <w:kern w:val="0"/>
          <w:szCs w:val="22"/>
          <w:lang w:val="fr-CA"/>
        </w:rPr>
        <w:t>pour</w:t>
      </w:r>
      <w:r w:rsidR="00AE7BCC">
        <w:rPr>
          <w:rFonts w:cs="Calibri"/>
          <w:color w:val="000000"/>
          <w:kern w:val="0"/>
          <w:szCs w:val="22"/>
          <w:lang w:val="fr-CA"/>
        </w:rPr>
        <w:t> </w:t>
      </w:r>
      <w:r w:rsidRPr="00CD71E6">
        <w:rPr>
          <w:rFonts w:cs="Calibri"/>
          <w:color w:val="000000"/>
          <w:kern w:val="0"/>
          <w:szCs w:val="22"/>
          <w:lang w:val="fr-CA"/>
        </w:rPr>
        <w:t>l’embauchage potentiel d’Inuits. Des 18,00 postes ETP, 13,00 postes ETP ont été pourvus, et 13,</w:t>
      </w:r>
      <w:r w:rsidR="00AE7BCC" w:rsidRPr="00CD71E6">
        <w:rPr>
          <w:rFonts w:cs="Calibri"/>
          <w:color w:val="000000"/>
          <w:kern w:val="0"/>
          <w:szCs w:val="22"/>
          <w:lang w:val="fr-CA"/>
        </w:rPr>
        <w:t>00</w:t>
      </w:r>
      <w:r w:rsidR="00AE7BCC">
        <w:rPr>
          <w:rFonts w:cs="Calibri"/>
          <w:color w:val="000000"/>
          <w:kern w:val="0"/>
          <w:szCs w:val="22"/>
          <w:lang w:val="fr-CA"/>
        </w:rPr>
        <w:t> </w:t>
      </w:r>
      <w:r w:rsidRPr="00CD71E6">
        <w:rPr>
          <w:rFonts w:cs="Calibri"/>
          <w:color w:val="000000"/>
          <w:kern w:val="0"/>
          <w:szCs w:val="22"/>
          <w:lang w:val="fr-CA"/>
        </w:rPr>
        <w:t xml:space="preserve">postes ETP l’ont été par des Inuits. Le CAN est parvenu à assurer une représentation élevée d’Inuits dans ces postes de première ligne importants.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78"/>
        <w:gridCol w:w="1278"/>
        <w:gridCol w:w="1278"/>
        <w:gridCol w:w="1278"/>
        <w:gridCol w:w="1278"/>
      </w:tblGrid>
      <w:tr w:rsidR="0093656E" w:rsidRPr="00CD71E6" w14:paraId="6EA5AF47" w14:textId="77777777" w:rsidTr="00D21189">
        <w:trPr>
          <w:trHeight w:val="274"/>
        </w:trPr>
        <w:tc>
          <w:tcPr>
            <w:tcW w:w="2970" w:type="dxa"/>
            <w:vMerge w:val="restart"/>
            <w:shd w:val="clear" w:color="auto" w:fill="auto"/>
            <w:vAlign w:val="center"/>
          </w:tcPr>
          <w:p w14:paraId="69BD6CA2" w14:textId="77777777" w:rsidR="0093656E" w:rsidRPr="00CD71E6" w:rsidRDefault="0093656E" w:rsidP="00D21189">
            <w:pPr>
              <w:spacing w:after="0" w:line="240" w:lineRule="auto"/>
              <w:rPr>
                <w:rFonts w:cs="Times New Roman"/>
                <w:b/>
                <w:sz w:val="20"/>
                <w:szCs w:val="20"/>
                <w:lang w:val="fr-CA"/>
              </w:rPr>
            </w:pPr>
          </w:p>
        </w:tc>
        <w:tc>
          <w:tcPr>
            <w:tcW w:w="6390" w:type="dxa"/>
            <w:gridSpan w:val="5"/>
            <w:shd w:val="clear" w:color="auto" w:fill="000000" w:themeFill="text1"/>
            <w:vAlign w:val="center"/>
          </w:tcPr>
          <w:p w14:paraId="22FD68AE" w14:textId="77777777" w:rsidR="0093656E" w:rsidRPr="00CD71E6" w:rsidRDefault="0093656E" w:rsidP="00D21189">
            <w:pPr>
              <w:spacing w:after="0" w:line="240" w:lineRule="auto"/>
              <w:jc w:val="center"/>
              <w:rPr>
                <w:rFonts w:cs="Times New Roman"/>
                <w:b/>
                <w:color w:val="FFFFFF" w:themeColor="background1"/>
                <w:sz w:val="20"/>
                <w:szCs w:val="20"/>
                <w:lang w:val="fr-CA"/>
              </w:rPr>
            </w:pPr>
            <w:r w:rsidRPr="00CD71E6">
              <w:rPr>
                <w:rFonts w:cs="Times New Roman"/>
                <w:b/>
                <w:bCs/>
                <w:color w:val="FFFFFF" w:themeColor="background1"/>
                <w:sz w:val="20"/>
                <w:szCs w:val="20"/>
                <w:lang w:val="fr-CA"/>
              </w:rPr>
              <w:t>Soutien administratif</w:t>
            </w:r>
          </w:p>
        </w:tc>
      </w:tr>
      <w:tr w:rsidR="0093656E" w:rsidRPr="00CD71E6" w14:paraId="60964A4C" w14:textId="77777777" w:rsidTr="00D21189">
        <w:trPr>
          <w:trHeight w:val="274"/>
        </w:trPr>
        <w:tc>
          <w:tcPr>
            <w:tcW w:w="2970" w:type="dxa"/>
            <w:vMerge/>
            <w:shd w:val="clear" w:color="auto" w:fill="auto"/>
            <w:vAlign w:val="center"/>
          </w:tcPr>
          <w:p w14:paraId="65422F5A" w14:textId="77777777" w:rsidR="0093656E" w:rsidRPr="00CD71E6" w:rsidRDefault="0093656E" w:rsidP="00D21189">
            <w:pPr>
              <w:spacing w:after="0" w:line="240" w:lineRule="auto"/>
              <w:rPr>
                <w:rFonts w:cs="Times New Roman"/>
                <w:sz w:val="20"/>
                <w:szCs w:val="20"/>
                <w:lang w:val="fr-CA"/>
              </w:rPr>
            </w:pPr>
          </w:p>
        </w:tc>
        <w:tc>
          <w:tcPr>
            <w:tcW w:w="1278" w:type="dxa"/>
            <w:shd w:val="clear" w:color="auto" w:fill="000000" w:themeFill="text1"/>
            <w:vAlign w:val="center"/>
          </w:tcPr>
          <w:p w14:paraId="371F7393" w14:textId="77777777" w:rsidR="0093656E" w:rsidRPr="00CD71E6" w:rsidRDefault="0093656E" w:rsidP="00D21189">
            <w:pPr>
              <w:spacing w:after="0" w:line="240" w:lineRule="auto"/>
              <w:jc w:val="center"/>
              <w:rPr>
                <w:rFonts w:cs="Times New Roman"/>
                <w:color w:val="FFFFFF" w:themeColor="background1"/>
                <w:sz w:val="18"/>
                <w:szCs w:val="18"/>
                <w:lang w:val="fr-CA"/>
              </w:rPr>
            </w:pPr>
            <w:r w:rsidRPr="00CD71E6">
              <w:rPr>
                <w:rFonts w:cs="Times New Roman"/>
                <w:color w:val="FFFFFF" w:themeColor="background1"/>
                <w:sz w:val="18"/>
                <w:szCs w:val="18"/>
                <w:lang w:val="fr-CA"/>
              </w:rPr>
              <w:t>Nombre total de postes</w:t>
            </w:r>
          </w:p>
        </w:tc>
        <w:tc>
          <w:tcPr>
            <w:tcW w:w="1278" w:type="dxa"/>
            <w:shd w:val="clear" w:color="auto" w:fill="000000" w:themeFill="text1"/>
            <w:vAlign w:val="center"/>
          </w:tcPr>
          <w:p w14:paraId="4CA1AD1C" w14:textId="69E539E4" w:rsidR="0093656E" w:rsidRPr="00CD71E6" w:rsidRDefault="0093656E" w:rsidP="00356916">
            <w:pPr>
              <w:spacing w:after="0" w:line="240" w:lineRule="auto"/>
              <w:jc w:val="center"/>
              <w:rPr>
                <w:rFonts w:cs="Times New Roman"/>
                <w:color w:val="FFFFFF" w:themeColor="background1"/>
                <w:sz w:val="18"/>
                <w:szCs w:val="18"/>
                <w:lang w:val="fr-CA"/>
              </w:rPr>
            </w:pPr>
            <w:r w:rsidRPr="00CD71E6">
              <w:rPr>
                <w:rFonts w:cs="Times New Roman"/>
                <w:color w:val="FFFFFF" w:themeColor="background1"/>
                <w:sz w:val="18"/>
                <w:szCs w:val="18"/>
                <w:lang w:val="fr-CA"/>
              </w:rPr>
              <w:t xml:space="preserve">Nombre </w:t>
            </w:r>
            <w:r w:rsidR="00356916" w:rsidRPr="00CD71E6">
              <w:rPr>
                <w:rFonts w:cs="Times New Roman"/>
                <w:color w:val="FFFFFF" w:themeColor="background1"/>
                <w:sz w:val="18"/>
                <w:szCs w:val="18"/>
                <w:lang w:val="fr-CA"/>
              </w:rPr>
              <w:t>de</w:t>
            </w:r>
            <w:r w:rsidR="00356916">
              <w:rPr>
                <w:rFonts w:cs="Times New Roman"/>
                <w:color w:val="FFFFFF" w:themeColor="background1"/>
                <w:sz w:val="18"/>
                <w:szCs w:val="18"/>
                <w:lang w:val="fr-CA"/>
              </w:rPr>
              <w:t> </w:t>
            </w:r>
            <w:r w:rsidRPr="00CD71E6">
              <w:rPr>
                <w:rFonts w:cs="Times New Roman"/>
                <w:color w:val="FFFFFF" w:themeColor="background1"/>
                <w:sz w:val="18"/>
                <w:szCs w:val="18"/>
                <w:lang w:val="fr-CA"/>
              </w:rPr>
              <w:t>postes pourvus</w:t>
            </w:r>
          </w:p>
        </w:tc>
        <w:tc>
          <w:tcPr>
            <w:tcW w:w="1278" w:type="dxa"/>
            <w:shd w:val="clear" w:color="auto" w:fill="000000" w:themeFill="text1"/>
            <w:vAlign w:val="center"/>
          </w:tcPr>
          <w:p w14:paraId="717AFBC9" w14:textId="77777777" w:rsidR="0093656E" w:rsidRPr="00CD71E6" w:rsidRDefault="0093656E" w:rsidP="00D21189">
            <w:pPr>
              <w:spacing w:after="0" w:line="240" w:lineRule="auto"/>
              <w:jc w:val="center"/>
              <w:rPr>
                <w:rFonts w:cs="Times New Roman"/>
                <w:color w:val="FFFFFF" w:themeColor="background1"/>
                <w:sz w:val="18"/>
                <w:szCs w:val="18"/>
                <w:lang w:val="fr-CA"/>
              </w:rPr>
            </w:pPr>
            <w:r w:rsidRPr="00CD71E6">
              <w:rPr>
                <w:rFonts w:cs="Times New Roman"/>
                <w:color w:val="FFFFFF" w:themeColor="background1"/>
                <w:sz w:val="18"/>
                <w:szCs w:val="18"/>
                <w:lang w:val="fr-CA"/>
              </w:rPr>
              <w:t>Emplois occupés par des Inuits</w:t>
            </w:r>
          </w:p>
        </w:tc>
        <w:tc>
          <w:tcPr>
            <w:tcW w:w="1278" w:type="dxa"/>
            <w:shd w:val="clear" w:color="auto" w:fill="000000" w:themeFill="text1"/>
            <w:vAlign w:val="center"/>
          </w:tcPr>
          <w:p w14:paraId="161A4E73" w14:textId="77777777" w:rsidR="0093656E" w:rsidRPr="00CD71E6" w:rsidRDefault="0093656E" w:rsidP="00D21189">
            <w:pPr>
              <w:spacing w:after="0" w:line="240" w:lineRule="auto"/>
              <w:jc w:val="center"/>
              <w:rPr>
                <w:rFonts w:cs="Times New Roman"/>
                <w:color w:val="FFFFFF" w:themeColor="background1"/>
                <w:sz w:val="18"/>
                <w:szCs w:val="18"/>
                <w:lang w:val="fr-CA"/>
              </w:rPr>
            </w:pPr>
            <w:r w:rsidRPr="00CD71E6">
              <w:rPr>
                <w:rFonts w:cs="Times New Roman"/>
                <w:color w:val="FFFFFF" w:themeColor="background1"/>
                <w:sz w:val="18"/>
                <w:szCs w:val="18"/>
                <w:lang w:val="fr-CA"/>
              </w:rPr>
              <w:t>% EI</w:t>
            </w:r>
          </w:p>
        </w:tc>
        <w:tc>
          <w:tcPr>
            <w:tcW w:w="1278" w:type="dxa"/>
            <w:shd w:val="clear" w:color="auto" w:fill="000000" w:themeFill="text1"/>
            <w:vAlign w:val="center"/>
          </w:tcPr>
          <w:p w14:paraId="0A4051FF" w14:textId="77777777" w:rsidR="0093656E" w:rsidRPr="00CD71E6" w:rsidRDefault="0093656E" w:rsidP="00D21189">
            <w:pPr>
              <w:spacing w:after="0" w:line="240" w:lineRule="auto"/>
              <w:jc w:val="center"/>
              <w:rPr>
                <w:rFonts w:cs="Times New Roman"/>
                <w:color w:val="FFFFFF" w:themeColor="background1"/>
                <w:sz w:val="18"/>
                <w:szCs w:val="18"/>
                <w:lang w:val="fr-CA"/>
              </w:rPr>
            </w:pPr>
            <w:r w:rsidRPr="00CD71E6">
              <w:rPr>
                <w:rFonts w:cs="Times New Roman"/>
                <w:color w:val="FFFFFF" w:themeColor="background1"/>
                <w:sz w:val="18"/>
                <w:szCs w:val="18"/>
                <w:lang w:val="fr-CA"/>
              </w:rPr>
              <w:t>CNP</w:t>
            </w:r>
          </w:p>
        </w:tc>
      </w:tr>
      <w:tr w:rsidR="0093656E" w:rsidRPr="00CD71E6" w14:paraId="7570DB18" w14:textId="77777777" w:rsidTr="00D21189">
        <w:trPr>
          <w:trHeight w:val="288"/>
        </w:trPr>
        <w:tc>
          <w:tcPr>
            <w:tcW w:w="2970" w:type="dxa"/>
            <w:shd w:val="clear" w:color="auto" w:fill="auto"/>
            <w:vAlign w:val="center"/>
          </w:tcPr>
          <w:p w14:paraId="00AD3B53" w14:textId="7A584E6D" w:rsidR="0093656E" w:rsidRPr="00CD71E6" w:rsidRDefault="00876024" w:rsidP="00D21189">
            <w:pPr>
              <w:spacing w:after="0" w:line="240" w:lineRule="auto"/>
              <w:jc w:val="right"/>
              <w:rPr>
                <w:rFonts w:cs="Times New Roman"/>
                <w:sz w:val="20"/>
                <w:szCs w:val="20"/>
                <w:lang w:val="fr-CA"/>
              </w:rPr>
            </w:pPr>
            <w:r w:rsidRPr="00CD71E6">
              <w:rPr>
                <w:rFonts w:cs="Times New Roman"/>
                <w:sz w:val="20"/>
                <w:szCs w:val="20"/>
                <w:lang w:val="fr-CA"/>
              </w:rPr>
              <w:t>Différents postes administratifs</w:t>
            </w:r>
          </w:p>
        </w:tc>
        <w:tc>
          <w:tcPr>
            <w:tcW w:w="1278" w:type="dxa"/>
            <w:vAlign w:val="center"/>
          </w:tcPr>
          <w:p w14:paraId="10C9A058" w14:textId="52FE982F" w:rsidR="0093656E" w:rsidRPr="00CD71E6" w:rsidRDefault="00876024" w:rsidP="00D21189">
            <w:pPr>
              <w:spacing w:after="0" w:line="240" w:lineRule="auto"/>
              <w:jc w:val="center"/>
              <w:rPr>
                <w:rFonts w:cs="Times New Roman"/>
                <w:sz w:val="20"/>
                <w:szCs w:val="20"/>
                <w:lang w:val="fr-CA"/>
              </w:rPr>
            </w:pPr>
            <w:r w:rsidRPr="00CD71E6">
              <w:rPr>
                <w:rFonts w:cs="Times New Roman"/>
                <w:sz w:val="20"/>
                <w:szCs w:val="20"/>
                <w:lang w:val="fr-CA"/>
              </w:rPr>
              <w:t>4</w:t>
            </w:r>
            <w:r w:rsidR="009A742D">
              <w:rPr>
                <w:sz w:val="20"/>
                <w:lang w:val="fr-CA"/>
              </w:rPr>
              <w:t>,00</w:t>
            </w:r>
          </w:p>
        </w:tc>
        <w:tc>
          <w:tcPr>
            <w:tcW w:w="1278" w:type="dxa"/>
            <w:vAlign w:val="center"/>
          </w:tcPr>
          <w:p w14:paraId="2219047F" w14:textId="623DDEE0" w:rsidR="0093656E" w:rsidRPr="00CD71E6" w:rsidRDefault="00876024" w:rsidP="00D21189">
            <w:pPr>
              <w:spacing w:after="0" w:line="240" w:lineRule="auto"/>
              <w:jc w:val="center"/>
              <w:rPr>
                <w:rFonts w:cs="Times New Roman"/>
                <w:sz w:val="20"/>
                <w:szCs w:val="20"/>
                <w:lang w:val="fr-CA"/>
              </w:rPr>
            </w:pPr>
            <w:r w:rsidRPr="00CD71E6">
              <w:rPr>
                <w:rFonts w:cs="Times New Roman"/>
                <w:sz w:val="20"/>
                <w:szCs w:val="20"/>
                <w:lang w:val="fr-CA"/>
              </w:rPr>
              <w:t>4,00</w:t>
            </w:r>
          </w:p>
        </w:tc>
        <w:tc>
          <w:tcPr>
            <w:tcW w:w="1278" w:type="dxa"/>
            <w:vAlign w:val="center"/>
          </w:tcPr>
          <w:p w14:paraId="34CE47C7" w14:textId="509DB908" w:rsidR="0093656E" w:rsidRPr="00CD71E6" w:rsidRDefault="00876024" w:rsidP="00D21189">
            <w:pPr>
              <w:spacing w:after="0" w:line="240" w:lineRule="auto"/>
              <w:jc w:val="center"/>
              <w:rPr>
                <w:rFonts w:cs="Times New Roman"/>
                <w:sz w:val="20"/>
                <w:szCs w:val="20"/>
                <w:lang w:val="fr-CA"/>
              </w:rPr>
            </w:pPr>
            <w:r w:rsidRPr="00CD71E6">
              <w:rPr>
                <w:rFonts w:cs="Times New Roman"/>
                <w:sz w:val="20"/>
                <w:szCs w:val="20"/>
                <w:lang w:val="fr-CA"/>
              </w:rPr>
              <w:t>4,00</w:t>
            </w:r>
          </w:p>
        </w:tc>
        <w:tc>
          <w:tcPr>
            <w:tcW w:w="1278" w:type="dxa"/>
            <w:vAlign w:val="center"/>
          </w:tcPr>
          <w:p w14:paraId="68A471FF" w14:textId="77777777" w:rsidR="0093656E" w:rsidRPr="00CD71E6" w:rsidRDefault="0093656E" w:rsidP="00D21189">
            <w:pPr>
              <w:spacing w:after="0" w:line="240" w:lineRule="auto"/>
              <w:jc w:val="center"/>
              <w:rPr>
                <w:rFonts w:cs="Times New Roman"/>
                <w:sz w:val="20"/>
                <w:szCs w:val="20"/>
                <w:lang w:val="fr-CA"/>
              </w:rPr>
            </w:pPr>
            <w:r w:rsidRPr="00CD71E6">
              <w:rPr>
                <w:rFonts w:cs="Times New Roman"/>
                <w:sz w:val="20"/>
                <w:szCs w:val="20"/>
                <w:lang w:val="fr-CA"/>
              </w:rPr>
              <w:t>100 %</w:t>
            </w:r>
          </w:p>
        </w:tc>
        <w:tc>
          <w:tcPr>
            <w:tcW w:w="1278" w:type="dxa"/>
            <w:vAlign w:val="center"/>
          </w:tcPr>
          <w:p w14:paraId="07B63DE3" w14:textId="77777777" w:rsidR="0093656E" w:rsidRPr="00CD71E6" w:rsidRDefault="0093656E" w:rsidP="00D21189">
            <w:pPr>
              <w:spacing w:after="0" w:line="240" w:lineRule="auto"/>
              <w:jc w:val="center"/>
              <w:rPr>
                <w:rFonts w:cs="Times New Roman"/>
                <w:sz w:val="20"/>
                <w:szCs w:val="20"/>
                <w:lang w:val="fr-CA"/>
              </w:rPr>
            </w:pPr>
            <w:r w:rsidRPr="00CD71E6">
              <w:rPr>
                <w:rFonts w:cs="Times New Roman"/>
                <w:sz w:val="20"/>
                <w:szCs w:val="20"/>
                <w:lang w:val="fr-CA"/>
              </w:rPr>
              <w:t>1221</w:t>
            </w:r>
          </w:p>
        </w:tc>
      </w:tr>
      <w:tr w:rsidR="0093656E" w:rsidRPr="00CD71E6" w14:paraId="0F2496EF" w14:textId="77777777" w:rsidTr="00D21189">
        <w:trPr>
          <w:trHeight w:val="288"/>
        </w:trPr>
        <w:tc>
          <w:tcPr>
            <w:tcW w:w="2970" w:type="dxa"/>
            <w:shd w:val="clear" w:color="auto" w:fill="auto"/>
            <w:vAlign w:val="center"/>
          </w:tcPr>
          <w:p w14:paraId="32B729C2" w14:textId="77777777" w:rsidR="0093656E" w:rsidRPr="00CD71E6" w:rsidRDefault="0093656E" w:rsidP="00D21189">
            <w:pPr>
              <w:spacing w:after="0" w:line="240" w:lineRule="auto"/>
              <w:jc w:val="right"/>
              <w:rPr>
                <w:rFonts w:cs="Times New Roman"/>
                <w:sz w:val="20"/>
                <w:szCs w:val="20"/>
                <w:lang w:val="fr-CA"/>
              </w:rPr>
            </w:pPr>
            <w:r w:rsidRPr="00CD71E6">
              <w:rPr>
                <w:rFonts w:cs="Times New Roman"/>
                <w:sz w:val="20"/>
                <w:szCs w:val="20"/>
                <w:lang w:val="fr-CA"/>
              </w:rPr>
              <w:t>Secrétaires</w:t>
            </w:r>
          </w:p>
        </w:tc>
        <w:tc>
          <w:tcPr>
            <w:tcW w:w="1278" w:type="dxa"/>
            <w:vAlign w:val="center"/>
          </w:tcPr>
          <w:p w14:paraId="37C9B957" w14:textId="345FEC1D" w:rsidR="0093656E" w:rsidRPr="00CD71E6" w:rsidRDefault="0012548F" w:rsidP="00D21189">
            <w:pPr>
              <w:spacing w:after="0" w:line="240" w:lineRule="auto"/>
              <w:jc w:val="center"/>
              <w:rPr>
                <w:rFonts w:cs="Times New Roman"/>
                <w:sz w:val="20"/>
                <w:szCs w:val="20"/>
                <w:lang w:val="fr-CA"/>
              </w:rPr>
            </w:pPr>
            <w:r w:rsidRPr="00CD71E6">
              <w:rPr>
                <w:rFonts w:cs="Times New Roman"/>
                <w:sz w:val="20"/>
                <w:szCs w:val="20"/>
                <w:lang w:val="fr-CA"/>
              </w:rPr>
              <w:t>7,00</w:t>
            </w:r>
          </w:p>
        </w:tc>
        <w:tc>
          <w:tcPr>
            <w:tcW w:w="1278" w:type="dxa"/>
            <w:vAlign w:val="center"/>
          </w:tcPr>
          <w:p w14:paraId="50D80B7B" w14:textId="19632365" w:rsidR="0093656E" w:rsidRPr="00CD71E6" w:rsidRDefault="0093656E" w:rsidP="00D21189">
            <w:pPr>
              <w:spacing w:after="0" w:line="240" w:lineRule="auto"/>
              <w:jc w:val="center"/>
              <w:rPr>
                <w:rFonts w:cs="Times New Roman"/>
                <w:sz w:val="20"/>
                <w:szCs w:val="20"/>
                <w:lang w:val="fr-CA"/>
              </w:rPr>
            </w:pPr>
            <w:r w:rsidRPr="00CD71E6">
              <w:rPr>
                <w:rFonts w:cs="Times New Roman"/>
                <w:sz w:val="20"/>
                <w:szCs w:val="20"/>
                <w:lang w:val="fr-CA"/>
              </w:rPr>
              <w:t>5</w:t>
            </w:r>
            <w:r w:rsidR="009A742D">
              <w:rPr>
                <w:sz w:val="20"/>
                <w:lang w:val="fr-CA"/>
              </w:rPr>
              <w:t>,00</w:t>
            </w:r>
          </w:p>
        </w:tc>
        <w:tc>
          <w:tcPr>
            <w:tcW w:w="1278" w:type="dxa"/>
            <w:vAlign w:val="center"/>
          </w:tcPr>
          <w:p w14:paraId="0B3D5576" w14:textId="77777777" w:rsidR="0093656E" w:rsidRPr="00CD71E6" w:rsidRDefault="0093656E" w:rsidP="00D21189">
            <w:pPr>
              <w:spacing w:after="0" w:line="240" w:lineRule="auto"/>
              <w:jc w:val="center"/>
              <w:rPr>
                <w:rFonts w:cs="Times New Roman"/>
                <w:sz w:val="20"/>
                <w:szCs w:val="20"/>
                <w:lang w:val="fr-CA"/>
              </w:rPr>
            </w:pPr>
            <w:r w:rsidRPr="00CD71E6">
              <w:rPr>
                <w:rFonts w:cs="Times New Roman"/>
                <w:sz w:val="20"/>
                <w:szCs w:val="20"/>
                <w:lang w:val="fr-CA"/>
              </w:rPr>
              <w:t>5,00</w:t>
            </w:r>
          </w:p>
        </w:tc>
        <w:tc>
          <w:tcPr>
            <w:tcW w:w="1278" w:type="dxa"/>
            <w:vAlign w:val="center"/>
          </w:tcPr>
          <w:p w14:paraId="4B04594C" w14:textId="77777777" w:rsidR="0093656E" w:rsidRPr="00CD71E6" w:rsidRDefault="0093656E" w:rsidP="00D21189">
            <w:pPr>
              <w:spacing w:after="0" w:line="240" w:lineRule="auto"/>
              <w:jc w:val="center"/>
              <w:rPr>
                <w:rFonts w:cs="Times New Roman"/>
                <w:sz w:val="20"/>
                <w:szCs w:val="20"/>
                <w:lang w:val="fr-CA"/>
              </w:rPr>
            </w:pPr>
            <w:r w:rsidRPr="00CD71E6">
              <w:rPr>
                <w:rFonts w:cs="Times New Roman"/>
                <w:sz w:val="20"/>
                <w:szCs w:val="20"/>
                <w:lang w:val="fr-CA"/>
              </w:rPr>
              <w:t>100 %</w:t>
            </w:r>
          </w:p>
        </w:tc>
        <w:tc>
          <w:tcPr>
            <w:tcW w:w="1278" w:type="dxa"/>
            <w:vAlign w:val="center"/>
          </w:tcPr>
          <w:p w14:paraId="00E292C1" w14:textId="77777777" w:rsidR="0093656E" w:rsidRPr="00CD71E6" w:rsidRDefault="0093656E" w:rsidP="00D21189">
            <w:pPr>
              <w:spacing w:after="0" w:line="240" w:lineRule="auto"/>
              <w:jc w:val="center"/>
              <w:rPr>
                <w:rFonts w:cs="Times New Roman"/>
                <w:sz w:val="20"/>
                <w:szCs w:val="20"/>
                <w:lang w:val="fr-CA"/>
              </w:rPr>
            </w:pPr>
            <w:r w:rsidRPr="00CD71E6">
              <w:rPr>
                <w:rFonts w:cs="Times New Roman"/>
                <w:sz w:val="20"/>
                <w:szCs w:val="20"/>
                <w:lang w:val="fr-CA"/>
              </w:rPr>
              <w:t>1241</w:t>
            </w:r>
          </w:p>
        </w:tc>
      </w:tr>
      <w:tr w:rsidR="0093656E" w:rsidRPr="00CD71E6" w14:paraId="51276391" w14:textId="77777777" w:rsidTr="00D21189">
        <w:trPr>
          <w:trHeight w:val="288"/>
        </w:trPr>
        <w:tc>
          <w:tcPr>
            <w:tcW w:w="2970" w:type="dxa"/>
            <w:shd w:val="clear" w:color="auto" w:fill="auto"/>
            <w:vAlign w:val="center"/>
          </w:tcPr>
          <w:p w14:paraId="09BF17BC" w14:textId="59F8D3EB" w:rsidR="0093656E" w:rsidRPr="00CD71E6" w:rsidRDefault="00876024" w:rsidP="00D21189">
            <w:pPr>
              <w:spacing w:after="0" w:line="240" w:lineRule="auto"/>
              <w:jc w:val="right"/>
              <w:rPr>
                <w:sz w:val="20"/>
                <w:lang w:val="fr-CA"/>
              </w:rPr>
            </w:pPr>
            <w:r w:rsidRPr="00CD71E6">
              <w:rPr>
                <w:sz w:val="20"/>
                <w:lang w:val="fr-CA"/>
              </w:rPr>
              <w:t>Autres postes</w:t>
            </w:r>
          </w:p>
        </w:tc>
        <w:tc>
          <w:tcPr>
            <w:tcW w:w="1278" w:type="dxa"/>
            <w:vAlign w:val="center"/>
          </w:tcPr>
          <w:p w14:paraId="02FE3C2A" w14:textId="5EF1DF76" w:rsidR="0093656E" w:rsidRPr="00CD71E6" w:rsidRDefault="0019311A" w:rsidP="00D21189">
            <w:pPr>
              <w:spacing w:after="0" w:line="240" w:lineRule="auto"/>
              <w:jc w:val="center"/>
              <w:rPr>
                <w:sz w:val="20"/>
                <w:lang w:val="fr-CA"/>
              </w:rPr>
            </w:pPr>
            <w:r w:rsidRPr="00CD71E6">
              <w:rPr>
                <w:sz w:val="20"/>
                <w:lang w:val="fr-CA"/>
              </w:rPr>
              <w:t>7,00</w:t>
            </w:r>
          </w:p>
        </w:tc>
        <w:tc>
          <w:tcPr>
            <w:tcW w:w="1278" w:type="dxa"/>
            <w:vAlign w:val="center"/>
          </w:tcPr>
          <w:p w14:paraId="6E56BD35" w14:textId="060C90F6" w:rsidR="0093656E" w:rsidRPr="00CD71E6" w:rsidRDefault="0019311A" w:rsidP="00D21189">
            <w:pPr>
              <w:spacing w:after="0" w:line="240" w:lineRule="auto"/>
              <w:jc w:val="center"/>
              <w:rPr>
                <w:sz w:val="20"/>
                <w:lang w:val="fr-CA"/>
              </w:rPr>
            </w:pPr>
            <w:r w:rsidRPr="00CD71E6">
              <w:rPr>
                <w:sz w:val="20"/>
                <w:lang w:val="fr-CA"/>
              </w:rPr>
              <w:t>4</w:t>
            </w:r>
            <w:r w:rsidR="009A742D">
              <w:rPr>
                <w:sz w:val="20"/>
                <w:lang w:val="fr-CA"/>
              </w:rPr>
              <w:t>,00</w:t>
            </w:r>
          </w:p>
        </w:tc>
        <w:tc>
          <w:tcPr>
            <w:tcW w:w="1278" w:type="dxa"/>
            <w:vAlign w:val="center"/>
          </w:tcPr>
          <w:p w14:paraId="10A58751" w14:textId="7FA94601" w:rsidR="0093656E" w:rsidRPr="00CD71E6" w:rsidRDefault="0019311A" w:rsidP="00D21189">
            <w:pPr>
              <w:spacing w:after="0" w:line="240" w:lineRule="auto"/>
              <w:jc w:val="center"/>
              <w:rPr>
                <w:sz w:val="20"/>
                <w:lang w:val="fr-CA"/>
              </w:rPr>
            </w:pPr>
            <w:r w:rsidRPr="00CD71E6">
              <w:rPr>
                <w:sz w:val="20"/>
                <w:lang w:val="fr-CA"/>
              </w:rPr>
              <w:t>4,00</w:t>
            </w:r>
          </w:p>
        </w:tc>
        <w:tc>
          <w:tcPr>
            <w:tcW w:w="1278" w:type="dxa"/>
            <w:vAlign w:val="center"/>
          </w:tcPr>
          <w:p w14:paraId="3944F42F" w14:textId="77777777" w:rsidR="0093656E" w:rsidRPr="00CD71E6" w:rsidRDefault="0093656E" w:rsidP="00D21189">
            <w:pPr>
              <w:spacing w:after="0" w:line="240" w:lineRule="auto"/>
              <w:jc w:val="center"/>
              <w:rPr>
                <w:sz w:val="20"/>
                <w:lang w:val="fr-CA"/>
              </w:rPr>
            </w:pPr>
            <w:r w:rsidRPr="00CD71E6">
              <w:rPr>
                <w:sz w:val="20"/>
                <w:lang w:val="fr-CA"/>
              </w:rPr>
              <w:t>100 %</w:t>
            </w:r>
          </w:p>
        </w:tc>
        <w:tc>
          <w:tcPr>
            <w:tcW w:w="1278" w:type="dxa"/>
            <w:vAlign w:val="center"/>
          </w:tcPr>
          <w:p w14:paraId="25588D09" w14:textId="77777777" w:rsidR="0093656E" w:rsidRPr="00CD71E6" w:rsidRDefault="0093656E" w:rsidP="00D21189">
            <w:pPr>
              <w:spacing w:after="0" w:line="240" w:lineRule="auto"/>
              <w:jc w:val="center"/>
              <w:rPr>
                <w:sz w:val="20"/>
                <w:lang w:val="fr-CA"/>
              </w:rPr>
            </w:pPr>
            <w:r w:rsidRPr="00CD71E6">
              <w:rPr>
                <w:sz w:val="20"/>
                <w:lang w:val="fr-CA"/>
              </w:rPr>
              <w:t>1241</w:t>
            </w:r>
          </w:p>
        </w:tc>
      </w:tr>
      <w:tr w:rsidR="0093656E" w:rsidRPr="00CD71E6" w14:paraId="503165B5" w14:textId="77777777" w:rsidTr="007F5122">
        <w:trPr>
          <w:trHeight w:val="288"/>
        </w:trPr>
        <w:tc>
          <w:tcPr>
            <w:tcW w:w="2970" w:type="dxa"/>
            <w:tcBorders>
              <w:top w:val="single" w:sz="12" w:space="0" w:color="auto"/>
              <w:bottom w:val="single" w:sz="4" w:space="0" w:color="auto"/>
            </w:tcBorders>
            <w:shd w:val="clear" w:color="auto" w:fill="auto"/>
            <w:vAlign w:val="center"/>
          </w:tcPr>
          <w:p w14:paraId="6F238E96" w14:textId="77777777" w:rsidR="0093656E" w:rsidRPr="00CD71E6" w:rsidRDefault="0093656E" w:rsidP="00D21189">
            <w:pPr>
              <w:spacing w:after="0" w:line="240" w:lineRule="auto"/>
              <w:jc w:val="right"/>
              <w:rPr>
                <w:rFonts w:cs="Times New Roman"/>
                <w:b/>
                <w:sz w:val="20"/>
                <w:szCs w:val="20"/>
                <w:lang w:val="fr-CA"/>
              </w:rPr>
            </w:pPr>
            <w:r w:rsidRPr="00CD71E6">
              <w:rPr>
                <w:rFonts w:cs="Times New Roman"/>
                <w:b/>
                <w:bCs/>
                <w:sz w:val="20"/>
                <w:szCs w:val="20"/>
                <w:lang w:val="fr-CA"/>
              </w:rPr>
              <w:t>Nombre total de postes</w:t>
            </w:r>
          </w:p>
        </w:tc>
        <w:tc>
          <w:tcPr>
            <w:tcW w:w="1278" w:type="dxa"/>
            <w:tcBorders>
              <w:top w:val="single" w:sz="12" w:space="0" w:color="auto"/>
              <w:bottom w:val="single" w:sz="4" w:space="0" w:color="auto"/>
            </w:tcBorders>
            <w:vAlign w:val="center"/>
          </w:tcPr>
          <w:p w14:paraId="4221F353" w14:textId="1BEF8B21" w:rsidR="0093656E" w:rsidRPr="00CD71E6" w:rsidRDefault="0093656E" w:rsidP="00D21189">
            <w:pPr>
              <w:spacing w:after="0" w:line="240" w:lineRule="auto"/>
              <w:jc w:val="center"/>
              <w:rPr>
                <w:rFonts w:cs="Times New Roman"/>
                <w:b/>
                <w:sz w:val="20"/>
                <w:szCs w:val="20"/>
                <w:lang w:val="fr-CA"/>
              </w:rPr>
            </w:pPr>
            <w:r w:rsidRPr="00CD71E6">
              <w:rPr>
                <w:rFonts w:cs="Times New Roman"/>
                <w:b/>
                <w:bCs/>
                <w:sz w:val="20"/>
                <w:szCs w:val="20"/>
                <w:lang w:val="fr-CA"/>
              </w:rPr>
              <w:t>18,00</w:t>
            </w:r>
          </w:p>
        </w:tc>
        <w:tc>
          <w:tcPr>
            <w:tcW w:w="1278" w:type="dxa"/>
            <w:tcBorders>
              <w:top w:val="single" w:sz="12" w:space="0" w:color="auto"/>
              <w:bottom w:val="single" w:sz="4" w:space="0" w:color="auto"/>
            </w:tcBorders>
            <w:vAlign w:val="center"/>
          </w:tcPr>
          <w:p w14:paraId="2B80811C" w14:textId="4FB92E5B" w:rsidR="0093656E" w:rsidRPr="00CD71E6" w:rsidRDefault="0093656E" w:rsidP="00D21189">
            <w:pPr>
              <w:spacing w:after="0" w:line="240" w:lineRule="auto"/>
              <w:jc w:val="center"/>
              <w:rPr>
                <w:rFonts w:cs="Times New Roman"/>
                <w:b/>
                <w:sz w:val="20"/>
                <w:szCs w:val="20"/>
                <w:lang w:val="fr-CA"/>
              </w:rPr>
            </w:pPr>
            <w:r w:rsidRPr="00CD71E6">
              <w:rPr>
                <w:rFonts w:cs="Times New Roman"/>
                <w:b/>
                <w:bCs/>
                <w:sz w:val="20"/>
                <w:szCs w:val="20"/>
                <w:lang w:val="fr-CA"/>
              </w:rPr>
              <w:t>13,00</w:t>
            </w:r>
          </w:p>
        </w:tc>
        <w:tc>
          <w:tcPr>
            <w:tcW w:w="1278" w:type="dxa"/>
            <w:tcBorders>
              <w:top w:val="single" w:sz="12" w:space="0" w:color="auto"/>
              <w:bottom w:val="single" w:sz="4" w:space="0" w:color="auto"/>
            </w:tcBorders>
            <w:vAlign w:val="center"/>
          </w:tcPr>
          <w:p w14:paraId="7BE5CD5C" w14:textId="0E3429D6" w:rsidR="0093656E" w:rsidRPr="00CD71E6" w:rsidRDefault="0093656E" w:rsidP="00D21189">
            <w:pPr>
              <w:spacing w:after="0" w:line="240" w:lineRule="auto"/>
              <w:jc w:val="center"/>
              <w:rPr>
                <w:rFonts w:cs="Times New Roman"/>
                <w:b/>
                <w:sz w:val="20"/>
                <w:szCs w:val="20"/>
                <w:lang w:val="fr-CA"/>
              </w:rPr>
            </w:pPr>
            <w:r w:rsidRPr="00CD71E6">
              <w:rPr>
                <w:rFonts w:cs="Times New Roman"/>
                <w:b/>
                <w:bCs/>
                <w:sz w:val="20"/>
                <w:szCs w:val="20"/>
                <w:lang w:val="fr-CA"/>
              </w:rPr>
              <w:t>13,00</w:t>
            </w:r>
          </w:p>
        </w:tc>
        <w:tc>
          <w:tcPr>
            <w:tcW w:w="1278" w:type="dxa"/>
            <w:tcBorders>
              <w:top w:val="single" w:sz="12" w:space="0" w:color="auto"/>
              <w:bottom w:val="single" w:sz="4" w:space="0" w:color="auto"/>
            </w:tcBorders>
            <w:vAlign w:val="center"/>
          </w:tcPr>
          <w:p w14:paraId="3A04397C" w14:textId="77777777" w:rsidR="0093656E" w:rsidRPr="00CD71E6" w:rsidRDefault="0093656E" w:rsidP="00D21189">
            <w:pPr>
              <w:spacing w:after="0" w:line="240" w:lineRule="auto"/>
              <w:jc w:val="center"/>
              <w:rPr>
                <w:rFonts w:cs="Times New Roman"/>
                <w:b/>
                <w:sz w:val="20"/>
                <w:szCs w:val="20"/>
                <w:lang w:val="fr-CA"/>
              </w:rPr>
            </w:pPr>
            <w:r w:rsidRPr="00CD71E6">
              <w:rPr>
                <w:rFonts w:cs="Times New Roman"/>
                <w:b/>
                <w:bCs/>
                <w:sz w:val="20"/>
                <w:szCs w:val="20"/>
                <w:lang w:val="fr-CA"/>
              </w:rPr>
              <w:t>100 %</w:t>
            </w:r>
          </w:p>
        </w:tc>
        <w:tc>
          <w:tcPr>
            <w:tcW w:w="1278" w:type="dxa"/>
            <w:tcBorders>
              <w:top w:val="single" w:sz="12" w:space="0" w:color="auto"/>
              <w:bottom w:val="single" w:sz="4" w:space="0" w:color="auto"/>
            </w:tcBorders>
            <w:vAlign w:val="center"/>
          </w:tcPr>
          <w:p w14:paraId="4F1E15A6" w14:textId="77777777" w:rsidR="0093656E" w:rsidRPr="00CD71E6" w:rsidRDefault="0093656E" w:rsidP="00D21189">
            <w:pPr>
              <w:spacing w:after="0" w:line="240" w:lineRule="auto"/>
              <w:jc w:val="center"/>
              <w:rPr>
                <w:rFonts w:cs="Times New Roman"/>
                <w:b/>
                <w:sz w:val="20"/>
                <w:szCs w:val="20"/>
                <w:lang w:val="fr-CA"/>
              </w:rPr>
            </w:pPr>
          </w:p>
        </w:tc>
      </w:tr>
    </w:tbl>
    <w:p w14:paraId="1217B9E2" w14:textId="0235A2E1" w:rsidR="0093656E" w:rsidRPr="00CD71E6" w:rsidRDefault="0093656E" w:rsidP="007F5122">
      <w:pPr>
        <w:ind w:left="6480" w:firstLine="720"/>
        <w:jc w:val="center"/>
        <w:rPr>
          <w:sz w:val="18"/>
          <w:lang w:val="fr-CA"/>
        </w:rPr>
      </w:pPr>
      <w:r w:rsidRPr="00CD71E6">
        <w:rPr>
          <w:sz w:val="18"/>
          <w:lang w:val="fr-CA"/>
        </w:rPr>
        <w:t>Au 31 mars 2018</w:t>
      </w:r>
    </w:p>
    <w:p w14:paraId="22E017EA" w14:textId="77777777" w:rsidR="0093656E" w:rsidRPr="00CD71E6" w:rsidRDefault="0093656E" w:rsidP="00DA0830">
      <w:pPr>
        <w:pStyle w:val="Heading2"/>
        <w:keepNext/>
        <w:rPr>
          <w:lang w:val="fr-CA"/>
        </w:rPr>
      </w:pPr>
      <w:bookmarkStart w:id="55" w:name="_Toc41053709"/>
      <w:r w:rsidRPr="00CD71E6">
        <w:rPr>
          <w:bCs/>
          <w:lang w:val="fr-CA"/>
        </w:rPr>
        <w:lastRenderedPageBreak/>
        <w:t>Exigences en matière de langues inuites</w:t>
      </w:r>
      <w:bookmarkEnd w:id="55"/>
    </w:p>
    <w:p w14:paraId="0A0239F0" w14:textId="77777777" w:rsidR="0093656E" w:rsidRPr="00CD71E6" w:rsidRDefault="0093656E" w:rsidP="002537AD">
      <w:pPr>
        <w:rPr>
          <w:lang w:val="fr-CA"/>
        </w:rPr>
      </w:pPr>
      <w:r w:rsidRPr="00CD71E6">
        <w:rPr>
          <w:lang w:val="fr-CA"/>
        </w:rPr>
        <w:t xml:space="preserve">Le Collège est un établissement inclusif qui respecte et célèbre la langue et la culture inuites et qui favorise leur compréhension. Le Collège s’engage à travailler avec le gouvernement du Nunavut pour atteindre les objectifs et les priorités de son mandat. Il continuera </w:t>
      </w:r>
      <w:r w:rsidRPr="00CD71E6">
        <w:rPr>
          <w:snapToGrid w:val="0"/>
          <w:lang w:val="fr-CA"/>
        </w:rPr>
        <w:t xml:space="preserve">d’intégrer du contenu bonifié relatif à la langue et à la culture inuites dans tous les programmes et les services. </w:t>
      </w:r>
    </w:p>
    <w:p w14:paraId="12755C12" w14:textId="22652236" w:rsidR="0093656E" w:rsidRPr="00CD71E6" w:rsidRDefault="0093656E" w:rsidP="002537AD">
      <w:pPr>
        <w:rPr>
          <w:lang w:val="fr-CA"/>
        </w:rPr>
      </w:pPr>
      <w:r w:rsidRPr="00CD71E6">
        <w:rPr>
          <w:lang w:val="fr-CA"/>
        </w:rPr>
        <w:t xml:space="preserve">En tout, 154 postes indiquent que l’inuktut est obligatoire ou est un atout. Ce nombre représente environ 67,0 % des postes au sein du Collège. En tout, 59 employés inuits reçoivent une prime de bilinguisme ou un incitatif pour la langue inuite, ce qui représente 36 % du total des postes pourvus et 66 % des Inuits embauchés. </w:t>
      </w:r>
    </w:p>
    <w:p w14:paraId="3B59D4A3" w14:textId="79F663ED" w:rsidR="0093656E" w:rsidRPr="00CD71E6" w:rsidRDefault="0093656E" w:rsidP="002537AD">
      <w:pPr>
        <w:rPr>
          <w:lang w:val="fr-CA"/>
        </w:rPr>
      </w:pPr>
      <w:r w:rsidRPr="00CD71E6">
        <w:rPr>
          <w:lang w:val="fr-CA"/>
        </w:rPr>
        <w:t>Ci-dessous figurent les raisons courantes pour lesquelles l’inuktut est indiqué comme obligatoire ou comme un atout dans les descriptions de postes :</w:t>
      </w:r>
    </w:p>
    <w:p w14:paraId="003F509A" w14:textId="203217D1" w:rsidR="0093656E" w:rsidRPr="00CD71E6" w:rsidRDefault="0093656E" w:rsidP="0094062C">
      <w:pPr>
        <w:pStyle w:val="ListParagraph"/>
        <w:numPr>
          <w:ilvl w:val="0"/>
          <w:numId w:val="18"/>
        </w:numPr>
        <w:rPr>
          <w:lang w:val="fr-CA"/>
        </w:rPr>
      </w:pPr>
      <w:r w:rsidRPr="00CD71E6">
        <w:rPr>
          <w:lang w:val="fr-CA"/>
        </w:rPr>
        <w:t>la capacité de parler, de lire et d’écrire en inuktitut est requise pour communiquer avec le personnel bilingue, les partenaires et les aînés unilingues et pour exercer les tâches du poste;</w:t>
      </w:r>
    </w:p>
    <w:p w14:paraId="1803E031" w14:textId="77777777" w:rsidR="0093656E" w:rsidRPr="00CD71E6" w:rsidRDefault="0093656E" w:rsidP="0094062C">
      <w:pPr>
        <w:pStyle w:val="ListParagraph"/>
        <w:numPr>
          <w:ilvl w:val="0"/>
          <w:numId w:val="18"/>
        </w:numPr>
        <w:rPr>
          <w:lang w:val="fr-CA"/>
        </w:rPr>
      </w:pPr>
      <w:r w:rsidRPr="00CD71E6">
        <w:rPr>
          <w:lang w:val="fr-CA"/>
        </w:rPr>
        <w:t>la capacité de parler, de lire et d’écrire en inuktitut et en inuinnaqtun est requise pour communiquer avec le personnel bilingue et unilingue et pour enseigner le contenu des programmes aux étudiants;</w:t>
      </w:r>
    </w:p>
    <w:p w14:paraId="67BC6CC6" w14:textId="77777777" w:rsidR="0093656E" w:rsidRPr="00CD71E6" w:rsidRDefault="0093656E" w:rsidP="0094062C">
      <w:pPr>
        <w:pStyle w:val="ListParagraph"/>
        <w:numPr>
          <w:ilvl w:val="0"/>
          <w:numId w:val="18"/>
        </w:numPr>
        <w:rPr>
          <w:lang w:val="fr-CA"/>
        </w:rPr>
      </w:pPr>
      <w:r w:rsidRPr="00CD71E6">
        <w:rPr>
          <w:lang w:val="fr-CA"/>
        </w:rPr>
        <w:t>la capacité de parler, de lire et d’écrire en inuktitut est requise pour communiquer avec les interlocuteurs, les membres du personnel et les étudiants unilingues et bilingues;</w:t>
      </w:r>
    </w:p>
    <w:p w14:paraId="42A5E03F" w14:textId="77777777" w:rsidR="0093656E" w:rsidRPr="00CD71E6" w:rsidRDefault="0093656E" w:rsidP="0094062C">
      <w:pPr>
        <w:pStyle w:val="ListParagraph"/>
        <w:numPr>
          <w:ilvl w:val="0"/>
          <w:numId w:val="18"/>
        </w:numPr>
        <w:rPr>
          <w:lang w:val="fr-CA"/>
        </w:rPr>
      </w:pPr>
      <w:r w:rsidRPr="00CD71E6">
        <w:rPr>
          <w:lang w:val="fr-CA"/>
        </w:rPr>
        <w:t>la capacité de parler, de lire et d’écrire en inuktitut est requise pour communiquer avec le personnel bilingue et pour doter des postes.</w:t>
      </w:r>
    </w:p>
    <w:p w14:paraId="2B64988C" w14:textId="1CDE2818" w:rsidR="0093656E" w:rsidRPr="00CD71E6" w:rsidRDefault="0093656E" w:rsidP="002537AD">
      <w:pPr>
        <w:rPr>
          <w:lang w:val="fr-CA"/>
        </w:rPr>
      </w:pPr>
      <w:bookmarkStart w:id="56" w:name="_Toc505763746"/>
      <w:bookmarkStart w:id="57" w:name="_Toc494118981"/>
      <w:r w:rsidRPr="00CD71E6">
        <w:rPr>
          <w:lang w:val="fr-CA"/>
        </w:rPr>
        <w:t>Le tableau suivant illustre le total des postes au sein du Collège de l’Arctique du Nunavut pour lesquels l’inuktut est indiqué comme obligatoire ou comme un atout dans la description de poste.</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1602"/>
        <w:gridCol w:w="1236"/>
        <w:gridCol w:w="1410"/>
        <w:gridCol w:w="1256"/>
      </w:tblGrid>
      <w:tr w:rsidR="0093656E" w:rsidRPr="00CD71E6" w14:paraId="7C6C724F" w14:textId="77777777" w:rsidTr="0049771F">
        <w:trPr>
          <w:trHeight w:val="274"/>
          <w:jc w:val="center"/>
        </w:trPr>
        <w:tc>
          <w:tcPr>
            <w:tcW w:w="3856" w:type="dxa"/>
            <w:vMerge w:val="restart"/>
            <w:shd w:val="clear" w:color="auto" w:fill="auto"/>
            <w:vAlign w:val="center"/>
          </w:tcPr>
          <w:p w14:paraId="4D3CF578" w14:textId="77777777" w:rsidR="0093656E" w:rsidRPr="00CD71E6" w:rsidRDefault="0093656E" w:rsidP="00D21189">
            <w:pPr>
              <w:spacing w:after="0" w:line="240" w:lineRule="auto"/>
              <w:rPr>
                <w:b/>
                <w:sz w:val="20"/>
                <w:lang w:val="fr-CA"/>
              </w:rPr>
            </w:pPr>
          </w:p>
        </w:tc>
        <w:tc>
          <w:tcPr>
            <w:tcW w:w="5504" w:type="dxa"/>
            <w:gridSpan w:val="4"/>
            <w:shd w:val="clear" w:color="auto" w:fill="000000" w:themeFill="text1"/>
          </w:tcPr>
          <w:p w14:paraId="36A1E8CB" w14:textId="7141B874" w:rsidR="0093656E" w:rsidRPr="00CD71E6" w:rsidRDefault="0093656E" w:rsidP="00D21189">
            <w:pPr>
              <w:spacing w:after="0" w:line="240" w:lineRule="auto"/>
              <w:jc w:val="center"/>
              <w:rPr>
                <w:b/>
                <w:color w:val="FFFFFF" w:themeColor="background1"/>
                <w:sz w:val="20"/>
                <w:lang w:val="fr-CA"/>
              </w:rPr>
            </w:pPr>
            <w:r w:rsidRPr="00CD71E6">
              <w:rPr>
                <w:b/>
                <w:bCs/>
                <w:color w:val="FFFFFF" w:themeColor="background1"/>
                <w:sz w:val="20"/>
                <w:lang w:val="fr-CA"/>
              </w:rPr>
              <w:t>Employés bilingues inuits</w:t>
            </w:r>
          </w:p>
        </w:tc>
      </w:tr>
      <w:tr w:rsidR="0093656E" w:rsidRPr="00CD71E6" w14:paraId="1AE383AD" w14:textId="77777777" w:rsidTr="0049771F">
        <w:trPr>
          <w:trHeight w:val="274"/>
          <w:jc w:val="center"/>
        </w:trPr>
        <w:tc>
          <w:tcPr>
            <w:tcW w:w="3856" w:type="dxa"/>
            <w:vMerge/>
            <w:shd w:val="clear" w:color="auto" w:fill="auto"/>
            <w:vAlign w:val="center"/>
          </w:tcPr>
          <w:p w14:paraId="676A343D" w14:textId="77777777" w:rsidR="0093656E" w:rsidRPr="00CD71E6" w:rsidRDefault="0093656E" w:rsidP="00D21189">
            <w:pPr>
              <w:spacing w:after="0" w:line="240" w:lineRule="auto"/>
              <w:rPr>
                <w:sz w:val="20"/>
                <w:lang w:val="fr-CA"/>
              </w:rPr>
            </w:pPr>
          </w:p>
        </w:tc>
        <w:tc>
          <w:tcPr>
            <w:tcW w:w="1602" w:type="dxa"/>
            <w:shd w:val="clear" w:color="auto" w:fill="000000" w:themeFill="text1"/>
            <w:vAlign w:val="center"/>
          </w:tcPr>
          <w:p w14:paraId="7062E571" w14:textId="19EAD7A4" w:rsidR="0093656E" w:rsidRPr="00CD71E6" w:rsidRDefault="0093656E" w:rsidP="00356916">
            <w:pPr>
              <w:spacing w:after="0" w:line="240" w:lineRule="auto"/>
              <w:jc w:val="center"/>
              <w:rPr>
                <w:color w:val="FFFFFF" w:themeColor="background1"/>
                <w:sz w:val="20"/>
                <w:lang w:val="fr-CA"/>
              </w:rPr>
            </w:pPr>
            <w:r w:rsidRPr="00CD71E6">
              <w:rPr>
                <w:color w:val="FFFFFF" w:themeColor="background1"/>
                <w:sz w:val="20"/>
                <w:lang w:val="fr-CA"/>
              </w:rPr>
              <w:t xml:space="preserve">Nombre total </w:t>
            </w:r>
            <w:r w:rsidR="00356916" w:rsidRPr="00CD71E6">
              <w:rPr>
                <w:color w:val="FFFFFF" w:themeColor="background1"/>
                <w:sz w:val="20"/>
                <w:lang w:val="fr-CA"/>
              </w:rPr>
              <w:t>de</w:t>
            </w:r>
            <w:r w:rsidR="00356916">
              <w:rPr>
                <w:color w:val="FFFFFF" w:themeColor="background1"/>
                <w:sz w:val="20"/>
                <w:lang w:val="fr-CA"/>
              </w:rPr>
              <w:t> </w:t>
            </w:r>
            <w:r w:rsidRPr="00CD71E6">
              <w:rPr>
                <w:color w:val="FFFFFF" w:themeColor="background1"/>
                <w:sz w:val="20"/>
                <w:lang w:val="fr-CA"/>
              </w:rPr>
              <w:t>postes</w:t>
            </w:r>
          </w:p>
        </w:tc>
        <w:tc>
          <w:tcPr>
            <w:tcW w:w="1236" w:type="dxa"/>
            <w:shd w:val="clear" w:color="auto" w:fill="000000" w:themeFill="text1"/>
            <w:vAlign w:val="center"/>
          </w:tcPr>
          <w:p w14:paraId="1D0925BA" w14:textId="77777777" w:rsidR="0093656E" w:rsidRPr="00CD71E6" w:rsidRDefault="0093656E" w:rsidP="00D21189">
            <w:pPr>
              <w:spacing w:after="0" w:line="240" w:lineRule="auto"/>
              <w:jc w:val="center"/>
              <w:rPr>
                <w:color w:val="FFFFFF" w:themeColor="background1"/>
                <w:sz w:val="20"/>
                <w:lang w:val="fr-CA"/>
              </w:rPr>
            </w:pPr>
            <w:r w:rsidRPr="00CD71E6">
              <w:rPr>
                <w:color w:val="FFFFFF" w:themeColor="background1"/>
                <w:sz w:val="20"/>
                <w:lang w:val="fr-CA"/>
              </w:rPr>
              <w:t>Postes pourvus</w:t>
            </w:r>
          </w:p>
        </w:tc>
        <w:tc>
          <w:tcPr>
            <w:tcW w:w="1410" w:type="dxa"/>
            <w:shd w:val="clear" w:color="auto" w:fill="000000" w:themeFill="text1"/>
            <w:vAlign w:val="center"/>
          </w:tcPr>
          <w:p w14:paraId="02F905D9" w14:textId="77777777" w:rsidR="0093656E" w:rsidRPr="00CD71E6" w:rsidRDefault="0093656E" w:rsidP="00D21189">
            <w:pPr>
              <w:spacing w:after="0" w:line="240" w:lineRule="auto"/>
              <w:jc w:val="center"/>
              <w:rPr>
                <w:color w:val="FFFFFF" w:themeColor="background1"/>
                <w:sz w:val="20"/>
                <w:lang w:val="fr-CA"/>
              </w:rPr>
            </w:pPr>
            <w:r w:rsidRPr="00CD71E6">
              <w:rPr>
                <w:color w:val="FFFFFF" w:themeColor="background1"/>
                <w:sz w:val="20"/>
                <w:lang w:val="fr-CA"/>
              </w:rPr>
              <w:t>Personnes parlant l’inuktut</w:t>
            </w:r>
          </w:p>
        </w:tc>
        <w:tc>
          <w:tcPr>
            <w:tcW w:w="1256" w:type="dxa"/>
            <w:shd w:val="clear" w:color="auto" w:fill="000000" w:themeFill="text1"/>
            <w:vAlign w:val="center"/>
          </w:tcPr>
          <w:p w14:paraId="26620EEE" w14:textId="77777777" w:rsidR="0093656E" w:rsidRPr="00CD71E6" w:rsidRDefault="0093656E" w:rsidP="00D21189">
            <w:pPr>
              <w:spacing w:after="0" w:line="240" w:lineRule="auto"/>
              <w:jc w:val="center"/>
              <w:rPr>
                <w:color w:val="FFFFFF" w:themeColor="background1"/>
                <w:sz w:val="20"/>
                <w:lang w:val="fr-CA"/>
              </w:rPr>
            </w:pPr>
            <w:r w:rsidRPr="00CD71E6">
              <w:rPr>
                <w:color w:val="FFFFFF" w:themeColor="background1"/>
                <w:sz w:val="20"/>
                <w:lang w:val="fr-CA"/>
              </w:rPr>
              <w:t>% bilingue</w:t>
            </w:r>
          </w:p>
        </w:tc>
      </w:tr>
      <w:tr w:rsidR="0093656E" w:rsidRPr="00CD71E6" w14:paraId="062E10BB" w14:textId="77777777" w:rsidTr="0049771F">
        <w:trPr>
          <w:trHeight w:val="288"/>
          <w:jc w:val="center"/>
        </w:trPr>
        <w:tc>
          <w:tcPr>
            <w:tcW w:w="3856" w:type="dxa"/>
            <w:tcBorders>
              <w:top w:val="single" w:sz="12" w:space="0" w:color="auto"/>
              <w:bottom w:val="single" w:sz="12" w:space="0" w:color="auto"/>
            </w:tcBorders>
            <w:shd w:val="clear" w:color="auto" w:fill="auto"/>
            <w:vAlign w:val="center"/>
          </w:tcPr>
          <w:p w14:paraId="2692EFC9" w14:textId="618AF058" w:rsidR="0093656E" w:rsidRPr="00CD71E6" w:rsidRDefault="0093656E" w:rsidP="00D21189">
            <w:pPr>
              <w:spacing w:after="0" w:line="240" w:lineRule="auto"/>
              <w:jc w:val="right"/>
              <w:rPr>
                <w:b/>
                <w:sz w:val="20"/>
                <w:lang w:val="fr-CA"/>
              </w:rPr>
            </w:pPr>
          </w:p>
        </w:tc>
        <w:tc>
          <w:tcPr>
            <w:tcW w:w="1602" w:type="dxa"/>
            <w:tcBorders>
              <w:top w:val="single" w:sz="12" w:space="0" w:color="auto"/>
              <w:bottom w:val="single" w:sz="12" w:space="0" w:color="auto"/>
            </w:tcBorders>
            <w:vAlign w:val="center"/>
          </w:tcPr>
          <w:p w14:paraId="6E05C81C" w14:textId="2A333D2E" w:rsidR="0093656E" w:rsidRPr="00CD71E6" w:rsidRDefault="0049771F" w:rsidP="00D21189">
            <w:pPr>
              <w:spacing w:after="0" w:line="240" w:lineRule="auto"/>
              <w:jc w:val="center"/>
              <w:rPr>
                <w:b/>
                <w:sz w:val="20"/>
                <w:lang w:val="fr-CA"/>
              </w:rPr>
            </w:pPr>
            <w:r w:rsidRPr="00CD71E6">
              <w:rPr>
                <w:b/>
                <w:bCs/>
                <w:sz w:val="20"/>
                <w:lang w:val="fr-CA"/>
              </w:rPr>
              <w:t>152,0</w:t>
            </w:r>
          </w:p>
        </w:tc>
        <w:tc>
          <w:tcPr>
            <w:tcW w:w="1236" w:type="dxa"/>
            <w:tcBorders>
              <w:top w:val="single" w:sz="12" w:space="0" w:color="auto"/>
              <w:bottom w:val="single" w:sz="12" w:space="0" w:color="auto"/>
            </w:tcBorders>
            <w:vAlign w:val="center"/>
          </w:tcPr>
          <w:p w14:paraId="6EDACF0F" w14:textId="588C607B" w:rsidR="0093656E" w:rsidRPr="00CD71E6" w:rsidRDefault="0049771F" w:rsidP="00D21189">
            <w:pPr>
              <w:spacing w:after="0" w:line="240" w:lineRule="auto"/>
              <w:jc w:val="center"/>
              <w:rPr>
                <w:b/>
                <w:sz w:val="20"/>
                <w:lang w:val="fr-CA"/>
              </w:rPr>
            </w:pPr>
            <w:r w:rsidRPr="00CD71E6">
              <w:rPr>
                <w:b/>
                <w:bCs/>
                <w:sz w:val="20"/>
                <w:lang w:val="fr-CA"/>
              </w:rPr>
              <w:t>114,00</w:t>
            </w:r>
          </w:p>
        </w:tc>
        <w:tc>
          <w:tcPr>
            <w:tcW w:w="1410" w:type="dxa"/>
            <w:tcBorders>
              <w:top w:val="single" w:sz="12" w:space="0" w:color="auto"/>
              <w:bottom w:val="single" w:sz="12" w:space="0" w:color="auto"/>
            </w:tcBorders>
            <w:vAlign w:val="center"/>
          </w:tcPr>
          <w:p w14:paraId="5B465A13" w14:textId="640EA54C" w:rsidR="0093656E" w:rsidRPr="00CD71E6" w:rsidRDefault="0049771F" w:rsidP="00D21189">
            <w:pPr>
              <w:spacing w:after="0" w:line="240" w:lineRule="auto"/>
              <w:jc w:val="center"/>
              <w:rPr>
                <w:b/>
                <w:sz w:val="20"/>
                <w:lang w:val="fr-CA"/>
              </w:rPr>
            </w:pPr>
            <w:r w:rsidRPr="00CD71E6">
              <w:rPr>
                <w:b/>
                <w:bCs/>
                <w:sz w:val="20"/>
                <w:lang w:val="fr-CA"/>
              </w:rPr>
              <w:t>59,00</w:t>
            </w:r>
          </w:p>
        </w:tc>
        <w:tc>
          <w:tcPr>
            <w:tcW w:w="1256" w:type="dxa"/>
            <w:tcBorders>
              <w:top w:val="single" w:sz="12" w:space="0" w:color="auto"/>
              <w:bottom w:val="single" w:sz="12" w:space="0" w:color="auto"/>
            </w:tcBorders>
            <w:vAlign w:val="center"/>
          </w:tcPr>
          <w:p w14:paraId="34FA6CD6" w14:textId="5F3C31ED" w:rsidR="0093656E" w:rsidRPr="00CD71E6" w:rsidRDefault="00D566CB" w:rsidP="00D21189">
            <w:pPr>
              <w:spacing w:after="0" w:line="240" w:lineRule="auto"/>
              <w:jc w:val="center"/>
              <w:rPr>
                <w:b/>
                <w:sz w:val="20"/>
                <w:lang w:val="fr-CA"/>
              </w:rPr>
            </w:pPr>
            <w:r w:rsidRPr="00CD71E6">
              <w:rPr>
                <w:b/>
                <w:bCs/>
                <w:sz w:val="20"/>
                <w:lang w:val="fr-CA"/>
              </w:rPr>
              <w:t>52 %</w:t>
            </w:r>
          </w:p>
        </w:tc>
      </w:tr>
    </w:tbl>
    <w:p w14:paraId="41F245BA" w14:textId="523189D2" w:rsidR="0046050D" w:rsidRPr="00CD71E6" w:rsidRDefault="0046050D" w:rsidP="0046050D">
      <w:pPr>
        <w:jc w:val="right"/>
        <w:rPr>
          <w:sz w:val="18"/>
          <w:lang w:val="fr-CA"/>
        </w:rPr>
      </w:pPr>
      <w:r w:rsidRPr="00CD71E6">
        <w:rPr>
          <w:lang w:val="fr-CA"/>
        </w:rPr>
        <w:tab/>
      </w:r>
      <w:r w:rsidRPr="00CD71E6">
        <w:rPr>
          <w:sz w:val="18"/>
          <w:lang w:val="fr-CA"/>
        </w:rPr>
        <w:t>Au 31 mars 2018</w:t>
      </w:r>
    </w:p>
    <w:p w14:paraId="51811B9F" w14:textId="4DDD957C" w:rsidR="005D468B" w:rsidRPr="00CD71E6" w:rsidRDefault="0086553E" w:rsidP="0046050D">
      <w:pPr>
        <w:jc w:val="right"/>
        <w:rPr>
          <w:sz w:val="18"/>
          <w:lang w:val="fr-CA"/>
        </w:rPr>
      </w:pPr>
      <w:r w:rsidRPr="00CD71E6">
        <w:rPr>
          <w:sz w:val="18"/>
          <w:lang w:val="fr-CA"/>
        </w:rPr>
        <w:t xml:space="preserve">* Le tableau ci-dessus indique les employés inuits qui reçoivent la prime de bilinguisme ou l’incitatif pour la langue inuite. </w:t>
      </w:r>
    </w:p>
    <w:p w14:paraId="02AF163C" w14:textId="77777777" w:rsidR="00AE7BCC" w:rsidRDefault="00AE7BCC">
      <w:pPr>
        <w:spacing w:after="200" w:line="276" w:lineRule="auto"/>
        <w:rPr>
          <w:rFonts w:ascii="Arial" w:hAnsi="Arial"/>
          <w:b/>
          <w:bCs/>
          <w:color w:val="005798"/>
          <w:spacing w:val="20"/>
          <w:sz w:val="28"/>
          <w:szCs w:val="28"/>
          <w:lang w:val="fr-CA"/>
        </w:rPr>
      </w:pPr>
      <w:bookmarkStart w:id="58" w:name="_Toc41053710"/>
      <w:r>
        <w:rPr>
          <w:bCs/>
          <w:lang w:val="fr-CA"/>
        </w:rPr>
        <w:br w:type="page"/>
      </w:r>
    </w:p>
    <w:p w14:paraId="6F2E06AF" w14:textId="51714D4B" w:rsidR="0093656E" w:rsidRPr="00CD71E6" w:rsidRDefault="0093656E">
      <w:pPr>
        <w:pStyle w:val="Heading2"/>
        <w:rPr>
          <w:lang w:val="fr-CA"/>
        </w:rPr>
      </w:pPr>
      <w:r w:rsidRPr="00CD71E6">
        <w:rPr>
          <w:bCs/>
          <w:lang w:val="fr-CA"/>
        </w:rPr>
        <w:lastRenderedPageBreak/>
        <w:t>Représentation inuite</w:t>
      </w:r>
      <w:bookmarkEnd w:id="56"/>
      <w:bookmarkEnd w:id="57"/>
      <w:bookmarkEnd w:id="58"/>
    </w:p>
    <w:p w14:paraId="6CA35F38" w14:textId="77777777" w:rsidR="002C4C9D" w:rsidRPr="00CD71E6" w:rsidRDefault="002C4C9D" w:rsidP="002C4C9D">
      <w:pPr>
        <w:autoSpaceDE w:val="0"/>
        <w:autoSpaceDN w:val="0"/>
        <w:adjustRightInd w:val="0"/>
        <w:rPr>
          <w:rFonts w:cs="Calibri"/>
          <w:kern w:val="0"/>
          <w:szCs w:val="22"/>
          <w:lang w:val="fr-CA"/>
        </w:rPr>
      </w:pPr>
      <w:r w:rsidRPr="00CD71E6">
        <w:rPr>
          <w:rFonts w:cs="Calibri"/>
          <w:kern w:val="0"/>
          <w:szCs w:val="22"/>
          <w:lang w:val="fr-CA"/>
        </w:rPr>
        <w:t xml:space="preserve">La représentation inuite est la plus élevée dans les catégories du soutien administratif et des paraprofessionnels, se chiffrant à 90 % et à 67 %, respectivement. Ces deux domaines combinés comprennent environ 30 % du total des postes pourvus du Collège. </w:t>
      </w:r>
    </w:p>
    <w:p w14:paraId="7173634C" w14:textId="77777777" w:rsidR="0093656E" w:rsidRPr="00CD71E6" w:rsidRDefault="0093656E" w:rsidP="0093656E">
      <w:pPr>
        <w:autoSpaceDE w:val="0"/>
        <w:autoSpaceDN w:val="0"/>
        <w:adjustRightInd w:val="0"/>
        <w:spacing w:after="0" w:line="240" w:lineRule="auto"/>
        <w:rPr>
          <w:rFonts w:cs="Calibri"/>
          <w:kern w:val="0"/>
          <w:szCs w:val="22"/>
          <w:lang w:val="fr-CA"/>
        </w:rPr>
      </w:pPr>
      <w:r w:rsidRPr="00CD71E6">
        <w:rPr>
          <w:rFonts w:cs="Calibri"/>
          <w:noProof/>
          <w:kern w:val="0"/>
          <w:szCs w:val="22"/>
          <w:lang w:val="fr-CA" w:eastAsia="fr-CA"/>
        </w:rPr>
        <w:drawing>
          <wp:inline distT="0" distB="0" distL="0" distR="0" wp14:anchorId="3F6F91FD" wp14:editId="1001ACB9">
            <wp:extent cx="5810250" cy="286702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DEF5C9" w14:textId="77777777" w:rsidR="00F471FB" w:rsidRPr="00CD71E6" w:rsidRDefault="00F471FB">
      <w:pPr>
        <w:autoSpaceDE w:val="0"/>
        <w:autoSpaceDN w:val="0"/>
        <w:adjustRightInd w:val="0"/>
        <w:spacing w:after="0" w:line="240" w:lineRule="auto"/>
        <w:jc w:val="both"/>
        <w:rPr>
          <w:rFonts w:cs="Calibri"/>
          <w:kern w:val="0"/>
          <w:szCs w:val="22"/>
          <w:lang w:val="fr-CA"/>
        </w:rPr>
      </w:pPr>
    </w:p>
    <w:p w14:paraId="4848B6E0" w14:textId="6913986F" w:rsidR="002C4C9D" w:rsidRPr="00CD71E6" w:rsidRDefault="002C4C9D" w:rsidP="002C4C9D">
      <w:pPr>
        <w:autoSpaceDE w:val="0"/>
        <w:autoSpaceDN w:val="0"/>
        <w:adjustRightInd w:val="0"/>
        <w:rPr>
          <w:rFonts w:cs="Calibri"/>
          <w:kern w:val="0"/>
          <w:szCs w:val="22"/>
          <w:lang w:val="fr-CA"/>
        </w:rPr>
      </w:pPr>
      <w:r w:rsidRPr="00CD71E6">
        <w:rPr>
          <w:rFonts w:cs="Calibri"/>
          <w:kern w:val="0"/>
          <w:szCs w:val="22"/>
          <w:lang w:val="fr-CA"/>
        </w:rPr>
        <w:t xml:space="preserve">En ce qui concerne les taux du plan d’embauchage des Inuits, la catégorie du soutien administratif représente une réussite. Dans la catégorie du soutien administratif, les postes ayant les taux du plan d’embauchage des Inuits les plus élevés sont habituellement le soutien administratif, les adjoints administratifs, les secrétaires, les commis, les agents de sécurité et les concierges. </w:t>
      </w:r>
    </w:p>
    <w:p w14:paraId="31897966" w14:textId="06BD540F" w:rsidR="0093656E" w:rsidRPr="00CD71E6" w:rsidRDefault="002C4C9D" w:rsidP="002C4C9D">
      <w:pPr>
        <w:autoSpaceDE w:val="0"/>
        <w:autoSpaceDN w:val="0"/>
        <w:adjustRightInd w:val="0"/>
        <w:rPr>
          <w:rFonts w:cs="Calibri"/>
          <w:kern w:val="0"/>
          <w:szCs w:val="22"/>
          <w:lang w:val="fr-CA"/>
        </w:rPr>
      </w:pPr>
      <w:r w:rsidRPr="00CD71E6">
        <w:rPr>
          <w:rFonts w:cs="Calibri"/>
          <w:kern w:val="0"/>
          <w:szCs w:val="22"/>
          <w:lang w:val="fr-CA"/>
        </w:rPr>
        <w:t xml:space="preserve">Dans la catégorie d’emploi des paraprofessionnels, les postes ayant les taux du plan d’embauchage des Inuits les plus élevés sont habituellement les agents ayant des fonctions de soutien au Collège. </w:t>
      </w:r>
    </w:p>
    <w:p w14:paraId="020306AA" w14:textId="77777777" w:rsidR="0093656E" w:rsidRPr="00CD71E6" w:rsidRDefault="0093656E" w:rsidP="0093656E">
      <w:pPr>
        <w:autoSpaceDE w:val="0"/>
        <w:autoSpaceDN w:val="0"/>
        <w:adjustRightInd w:val="0"/>
        <w:spacing w:after="0" w:line="240" w:lineRule="auto"/>
        <w:rPr>
          <w:lang w:val="fr-CA"/>
        </w:rPr>
      </w:pPr>
      <w:r w:rsidRPr="00CD71E6">
        <w:rPr>
          <w:rFonts w:cs="Calibri"/>
          <w:noProof/>
          <w:kern w:val="0"/>
          <w:szCs w:val="22"/>
          <w:lang w:val="fr-CA" w:eastAsia="fr-CA"/>
        </w:rPr>
        <w:lastRenderedPageBreak/>
        <w:drawing>
          <wp:inline distT="0" distB="0" distL="0" distR="0" wp14:anchorId="5EE22210" wp14:editId="3E627139">
            <wp:extent cx="5810250" cy="28670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9746ED" w14:textId="77777777" w:rsidR="00F471FB" w:rsidRPr="00CD71E6" w:rsidRDefault="00F471FB">
      <w:pPr>
        <w:autoSpaceDE w:val="0"/>
        <w:autoSpaceDN w:val="0"/>
        <w:adjustRightInd w:val="0"/>
        <w:spacing w:after="0" w:line="240" w:lineRule="auto"/>
        <w:jc w:val="both"/>
        <w:rPr>
          <w:lang w:val="fr-CA"/>
        </w:rPr>
      </w:pPr>
    </w:p>
    <w:p w14:paraId="428D8D92" w14:textId="77777777" w:rsidR="002C4C9D" w:rsidRPr="00CD71E6" w:rsidRDefault="002C4C9D" w:rsidP="002C4C9D">
      <w:pPr>
        <w:autoSpaceDE w:val="0"/>
        <w:autoSpaceDN w:val="0"/>
        <w:adjustRightInd w:val="0"/>
        <w:rPr>
          <w:rFonts w:cs="Calibri"/>
          <w:kern w:val="0"/>
          <w:szCs w:val="22"/>
          <w:lang w:val="fr-CA"/>
        </w:rPr>
      </w:pPr>
      <w:r w:rsidRPr="00CD71E6">
        <w:rPr>
          <w:rFonts w:cs="Calibri"/>
          <w:kern w:val="0"/>
          <w:szCs w:val="22"/>
          <w:lang w:val="fr-CA"/>
        </w:rPr>
        <w:t>Le nombre réel d’Inuits embauchés est le plus élevé dans la catégorie des professionnels (39 Inuits) et la catégorie du soutien administratif (28 Inuits). Ces embauches d’Inuits combinées comprennent 56 % des postes pourvus dans ces deux catégories. Les Inuits embauchés dans la catégorie des professionnels occupent des postes comme coordonnateurs des programmes, éducateurs d’adultes et enseignants dans différents domaines d’intérêts comme la formation des enseignants, la langue et la culture, l’administration de bureau, les métiers et les études postsecondaires.</w:t>
      </w:r>
    </w:p>
    <w:p w14:paraId="49235B9C" w14:textId="09D55980" w:rsidR="0093656E" w:rsidRPr="00CD71E6" w:rsidRDefault="0093656E" w:rsidP="00017EB2">
      <w:pPr>
        <w:autoSpaceDE w:val="0"/>
        <w:autoSpaceDN w:val="0"/>
        <w:adjustRightInd w:val="0"/>
        <w:rPr>
          <w:rFonts w:cs="Calibri"/>
          <w:kern w:val="0"/>
          <w:szCs w:val="22"/>
          <w:lang w:val="fr-CA"/>
        </w:rPr>
      </w:pPr>
      <w:r w:rsidRPr="00CD71E6">
        <w:rPr>
          <w:lang w:val="fr-CA"/>
        </w:rPr>
        <w:t xml:space="preserve">Le Collège de l’Arctique du Nunavut s’engage à accroître l’embauchage des Inuits, et un accent particulier est mis sur la catégorie des professionnels (enseignants). La catégorie des professionnels est essentielle parce que la nécessité d’avoir un milieu d’apprentissage bilingue se fait sentir de façon urgente. Ces postes sont difficiles à pourvoir par des Inuits parce que les enseignants admissibles nécessitent des compétences attestées et que ces postes doivent être pourvus avant que la session d’enseignement commence. </w:t>
      </w:r>
    </w:p>
    <w:p w14:paraId="4216A371" w14:textId="77777777" w:rsidR="0093656E" w:rsidRPr="00CD71E6" w:rsidRDefault="0093656E" w:rsidP="00017EB2">
      <w:pPr>
        <w:autoSpaceDE w:val="0"/>
        <w:autoSpaceDN w:val="0"/>
        <w:adjustRightInd w:val="0"/>
        <w:rPr>
          <w:rFonts w:cs="Calibri"/>
          <w:kern w:val="0"/>
          <w:szCs w:val="22"/>
          <w:lang w:val="fr-CA"/>
        </w:rPr>
      </w:pPr>
      <w:r w:rsidRPr="00CD71E6">
        <w:rPr>
          <w:rFonts w:cs="Calibri"/>
          <w:kern w:val="0"/>
          <w:szCs w:val="22"/>
          <w:lang w:val="fr-CA"/>
        </w:rPr>
        <w:t>En ce qui concerne les catégories des cadres supérieurs et des cadres intermédiaires, les taux du plan d’embauchage des Inuits demeurent faibles, les plus grands obstacles étant de trouver des candidats ayant fait des études supérieures et possédant de l’expérience de travail pertinente.</w:t>
      </w:r>
    </w:p>
    <w:p w14:paraId="14FEFFD6" w14:textId="77777777" w:rsidR="0093656E" w:rsidRPr="00CD71E6" w:rsidRDefault="0093656E" w:rsidP="00017EB2">
      <w:pPr>
        <w:autoSpaceDE w:val="0"/>
        <w:autoSpaceDN w:val="0"/>
        <w:adjustRightInd w:val="0"/>
        <w:rPr>
          <w:rFonts w:cs="Calibri"/>
          <w:kern w:val="0"/>
          <w:szCs w:val="22"/>
          <w:lang w:val="fr-CA"/>
        </w:rPr>
      </w:pPr>
      <w:r w:rsidRPr="00CD71E6">
        <w:rPr>
          <w:lang w:val="fr-CA"/>
        </w:rPr>
        <w:t>En raison de la taille limitée du marché du travail du Nunavut, les Inuits embauchés dans les catégories des professionnels, des paraprofessionnels et du soutien administratif du CAN peuvent représenter un bassin de main-d’œuvre qui pourrait se perfectionner pour occuper des postes pour lesquels la représentation inuite est faible. Ceci concerne plus précisément les postes de coordination et de gestion.</w:t>
      </w:r>
    </w:p>
    <w:p w14:paraId="15A9623A" w14:textId="77777777" w:rsidR="0093656E" w:rsidRPr="00CD71E6" w:rsidRDefault="0093656E" w:rsidP="0093656E">
      <w:pPr>
        <w:autoSpaceDE w:val="0"/>
        <w:autoSpaceDN w:val="0"/>
        <w:adjustRightInd w:val="0"/>
        <w:spacing w:after="0" w:line="240" w:lineRule="auto"/>
        <w:jc w:val="both"/>
        <w:rPr>
          <w:rFonts w:cs="Calibri"/>
          <w:kern w:val="0"/>
          <w:szCs w:val="22"/>
          <w:lang w:val="fr-CA"/>
        </w:rPr>
      </w:pPr>
    </w:p>
    <w:p w14:paraId="1E2A085D" w14:textId="106201B6" w:rsidR="0093656E" w:rsidRPr="00CD71E6" w:rsidRDefault="0093656E" w:rsidP="0093656E">
      <w:pPr>
        <w:autoSpaceDE w:val="0"/>
        <w:autoSpaceDN w:val="0"/>
        <w:adjustRightInd w:val="0"/>
        <w:spacing w:after="0" w:line="240" w:lineRule="auto"/>
        <w:rPr>
          <w:rFonts w:cs="Calibri"/>
          <w:kern w:val="0"/>
          <w:szCs w:val="22"/>
          <w:lang w:val="fr-CA"/>
        </w:rPr>
      </w:pPr>
    </w:p>
    <w:p w14:paraId="525E7ACE" w14:textId="4AB0F9F6" w:rsidR="00A9777E" w:rsidRPr="00CD71E6" w:rsidRDefault="00A9777E" w:rsidP="00DA0830">
      <w:pPr>
        <w:pStyle w:val="Heading1"/>
        <w:pageBreakBefore/>
        <w:rPr>
          <w:lang w:val="fr-CA"/>
        </w:rPr>
      </w:pPr>
      <w:bookmarkStart w:id="59" w:name="_Toc41053711"/>
      <w:r w:rsidRPr="00CD71E6">
        <w:rPr>
          <w:lang w:val="fr-CA"/>
        </w:rPr>
        <w:lastRenderedPageBreak/>
        <w:t>Chapitre 4 : Problématiques et possibilités en matière d’embauchage des Inuits</w:t>
      </w:r>
      <w:bookmarkEnd w:id="59"/>
    </w:p>
    <w:p w14:paraId="0D9A2188" w14:textId="77777777" w:rsidR="00A9777E" w:rsidRPr="00CD71E6" w:rsidRDefault="00B70D26" w:rsidP="004F53BF">
      <w:pPr>
        <w:pStyle w:val="IntenseQuote"/>
        <w:rPr>
          <w:lang w:val="fr-CA"/>
        </w:rPr>
      </w:pPr>
      <w:r w:rsidRPr="00CD71E6">
        <w:rPr>
          <w:bCs/>
          <w:lang w:val="fr-CA"/>
        </w:rPr>
        <w:t>Ce chapitre résume les principaux risques, enjeux et possibilités de l’organisme en matière d’embauchage des Inuits.</w:t>
      </w:r>
    </w:p>
    <w:p w14:paraId="6D051913" w14:textId="77777777" w:rsidR="00B70D26" w:rsidRPr="00CD71E6" w:rsidRDefault="00B70D26" w:rsidP="00B70D26">
      <w:pPr>
        <w:pStyle w:val="Heading2"/>
        <w:rPr>
          <w:lang w:val="fr-CA"/>
        </w:rPr>
      </w:pPr>
      <w:bookmarkStart w:id="60" w:name="_Toc41053712"/>
      <w:r w:rsidRPr="00CD71E6">
        <w:rPr>
          <w:bCs/>
          <w:lang w:val="fr-CA"/>
        </w:rPr>
        <w:t>Problématiques et possibilités découlant du passé</w:t>
      </w:r>
      <w:bookmarkEnd w:id="60"/>
      <w:r w:rsidRPr="00CD71E6">
        <w:rPr>
          <w:bCs/>
          <w:lang w:val="fr-CA"/>
        </w:rPr>
        <w:t xml:space="preserve"> </w:t>
      </w:r>
    </w:p>
    <w:p w14:paraId="2F69994C" w14:textId="47AA6355" w:rsidR="004B4DDA" w:rsidRPr="00CD71E6" w:rsidRDefault="004B4DDA" w:rsidP="004B4DDA">
      <w:pPr>
        <w:pStyle w:val="Heading3"/>
        <w:rPr>
          <w:lang w:val="fr-CA"/>
        </w:rPr>
      </w:pPr>
      <w:bookmarkStart w:id="61" w:name="_Toc41053713"/>
      <w:r w:rsidRPr="00CD71E6">
        <w:rPr>
          <w:bCs/>
          <w:lang w:val="fr-CA"/>
        </w:rPr>
        <w:t>Roulement de personnel et maintien des effectifs</w:t>
      </w:r>
      <w:bookmarkEnd w:id="61"/>
    </w:p>
    <w:p w14:paraId="075EEF78" w14:textId="35FE77E8" w:rsidR="00BE5568" w:rsidRPr="00CD71E6" w:rsidRDefault="00BE5568" w:rsidP="006626DA">
      <w:pPr>
        <w:rPr>
          <w:lang w:val="fr-CA"/>
        </w:rPr>
      </w:pPr>
      <w:r w:rsidRPr="00CD71E6">
        <w:rPr>
          <w:lang w:val="fr-CA"/>
        </w:rPr>
        <w:t xml:space="preserve">Le Collège de l’Arctique du Nunavut, comme tout autre ministère ou organisme du gouvernement du Nunavut, a connu par le passé un roulement de personnel élevé de ses effectifs. Ce roulement nuit aux activités du Collège et entraîne couramment une perte de ses pratiques exemplaires, de sa perspective historique et de son expertise en la matière. </w:t>
      </w:r>
    </w:p>
    <w:p w14:paraId="30884028" w14:textId="4A307CA0" w:rsidR="004533A1" w:rsidRPr="00CD71E6" w:rsidRDefault="00BE5568" w:rsidP="006626DA">
      <w:pPr>
        <w:rPr>
          <w:lang w:val="fr-CA"/>
        </w:rPr>
      </w:pPr>
      <w:r w:rsidRPr="00CD71E6">
        <w:rPr>
          <w:lang w:val="fr-CA"/>
        </w:rPr>
        <w:t>De plus, deux pratiques particulières du Collège qui sont problématiques pour la rétention d’employés inuits sont les engagements du collège à l’égard de ce qui suit :</w:t>
      </w:r>
    </w:p>
    <w:p w14:paraId="01CC1284" w14:textId="77777777" w:rsidR="004533A1" w:rsidRPr="00CD71E6" w:rsidRDefault="004533A1" w:rsidP="0094062C">
      <w:pPr>
        <w:pStyle w:val="ListParagraph"/>
        <w:numPr>
          <w:ilvl w:val="0"/>
          <w:numId w:val="21"/>
        </w:numPr>
        <w:rPr>
          <w:lang w:val="fr-CA"/>
        </w:rPr>
      </w:pPr>
      <w:r w:rsidRPr="00CD71E6">
        <w:rPr>
          <w:lang w:val="fr-CA"/>
        </w:rPr>
        <w:t xml:space="preserve">fournir des études postsecondaires au niveau communautaire; </w:t>
      </w:r>
    </w:p>
    <w:p w14:paraId="075C96D1" w14:textId="194A227F" w:rsidR="004533A1" w:rsidRPr="00CD71E6" w:rsidRDefault="004533A1" w:rsidP="0094062C">
      <w:pPr>
        <w:pStyle w:val="ListParagraph"/>
        <w:numPr>
          <w:ilvl w:val="0"/>
          <w:numId w:val="21"/>
        </w:numPr>
        <w:rPr>
          <w:lang w:val="fr-CA"/>
        </w:rPr>
      </w:pPr>
      <w:r w:rsidRPr="00CD71E6">
        <w:rPr>
          <w:lang w:val="fr-CA"/>
        </w:rPr>
        <w:t xml:space="preserve">modifier les emplacements où sont donnés les programmes du Collège parmi les collectivités et les régions du territoire. </w:t>
      </w:r>
    </w:p>
    <w:p w14:paraId="5EA4D4E5" w14:textId="20966FE1" w:rsidR="00186EC9" w:rsidRPr="00CD71E6" w:rsidRDefault="00BE5568" w:rsidP="006626DA">
      <w:pPr>
        <w:rPr>
          <w:lang w:val="fr-CA"/>
        </w:rPr>
      </w:pPr>
      <w:r w:rsidRPr="00CD71E6">
        <w:rPr>
          <w:lang w:val="fr-CA"/>
        </w:rPr>
        <w:t xml:space="preserve">Ces pratiques ont entraîné des fluctuations du nombre de postes et d’employés inuits dans les catégories des cadres intermédiaires et des professionnels aux trois campus régionaux ainsi qu’aux centres d’apprentissage communautaires. </w:t>
      </w:r>
    </w:p>
    <w:p w14:paraId="2F97EADD" w14:textId="77777777" w:rsidR="00335C10" w:rsidRPr="00CD71E6" w:rsidRDefault="00335C10" w:rsidP="00335C10">
      <w:pPr>
        <w:pStyle w:val="Heading3"/>
        <w:rPr>
          <w:lang w:val="fr-CA"/>
        </w:rPr>
      </w:pPr>
      <w:bookmarkStart w:id="62" w:name="_Toc41053714"/>
      <w:r w:rsidRPr="00CD71E6">
        <w:rPr>
          <w:bCs/>
          <w:lang w:val="fr-CA"/>
        </w:rPr>
        <w:t>Expertise spécialisée</w:t>
      </w:r>
      <w:bookmarkEnd w:id="62"/>
    </w:p>
    <w:p w14:paraId="1B3187B3" w14:textId="20AD83C4" w:rsidR="00664947" w:rsidRPr="00CD71E6" w:rsidRDefault="00335C10" w:rsidP="00335C10">
      <w:pPr>
        <w:rPr>
          <w:lang w:val="fr-CA"/>
        </w:rPr>
      </w:pPr>
      <w:r w:rsidRPr="00CD71E6">
        <w:rPr>
          <w:lang w:val="fr-CA"/>
        </w:rPr>
        <w:t xml:space="preserve">Contrairement à de nombreux autres ministères et organismes, le Collège de l’Arctique du Nunavut compte très peu de postes similaires dotés en grand nombre un peu partout dans le territoire. La plus grande partie des postes du Collège est plutôt constituée de postes considérablement spécialisés. </w:t>
      </w:r>
      <w:r w:rsidR="00DE5535">
        <w:rPr>
          <w:lang w:val="fr-CA"/>
        </w:rPr>
        <w:br/>
      </w:r>
      <w:r w:rsidRPr="00CD71E6">
        <w:rPr>
          <w:lang w:val="fr-CA"/>
        </w:rPr>
        <w:t xml:space="preserve">Bon nombre de ces postes exigent un diplôme d’études postsecondaires. </w:t>
      </w:r>
    </w:p>
    <w:p w14:paraId="7219F776" w14:textId="6639833B" w:rsidR="00335C10" w:rsidRPr="00CD71E6" w:rsidRDefault="00664947" w:rsidP="00335C10">
      <w:pPr>
        <w:rPr>
          <w:lang w:val="fr-CA"/>
        </w:rPr>
      </w:pPr>
      <w:r w:rsidRPr="00CD71E6">
        <w:rPr>
          <w:lang w:val="fr-CA"/>
        </w:rPr>
        <w:t>La nécessité d’avoir des experts possédant un diplôme d’études postsecondaires crée des difficultés sur le plan de la dotation pour le Collège.</w:t>
      </w:r>
    </w:p>
    <w:p w14:paraId="7F28F84B" w14:textId="77777777" w:rsidR="00E5791A" w:rsidRPr="00CD71E6" w:rsidRDefault="00B70D26" w:rsidP="00017EB2">
      <w:pPr>
        <w:pStyle w:val="Heading2"/>
        <w:rPr>
          <w:lang w:val="fr-CA"/>
        </w:rPr>
      </w:pPr>
      <w:bookmarkStart w:id="63" w:name="_Toc41053715"/>
      <w:r w:rsidRPr="00CD71E6">
        <w:rPr>
          <w:bCs/>
          <w:lang w:val="fr-CA"/>
        </w:rPr>
        <w:t>Problématiques et possibilités actuelles</w:t>
      </w:r>
      <w:bookmarkEnd w:id="63"/>
    </w:p>
    <w:p w14:paraId="4D0D4946" w14:textId="77777777" w:rsidR="004533A1" w:rsidRPr="00CD71E6" w:rsidRDefault="004533A1" w:rsidP="00017EB2">
      <w:pPr>
        <w:pStyle w:val="Heading3"/>
        <w:rPr>
          <w:lang w:val="fr-CA"/>
        </w:rPr>
      </w:pPr>
      <w:bookmarkStart w:id="64" w:name="_Toc41053716"/>
      <w:r w:rsidRPr="00CD71E6">
        <w:rPr>
          <w:bCs/>
          <w:lang w:val="fr-CA"/>
        </w:rPr>
        <w:t>Roulement de personnel et maintien des effectifs</w:t>
      </w:r>
      <w:bookmarkEnd w:id="64"/>
    </w:p>
    <w:p w14:paraId="2CCA1F04" w14:textId="77777777" w:rsidR="004533A1" w:rsidRPr="00CD71E6" w:rsidRDefault="004533A1" w:rsidP="004533A1">
      <w:pPr>
        <w:rPr>
          <w:lang w:val="fr-CA"/>
        </w:rPr>
      </w:pPr>
      <w:r w:rsidRPr="00CD71E6">
        <w:rPr>
          <w:lang w:val="fr-CA"/>
        </w:rPr>
        <w:t xml:space="preserve">L’engagement du Collège visant à fournir de l’enseignement postsecondaire et différents programmes dans les collectivités et les régions est essentiel à l’accomplissement de son mandat qui consiste à fournir de l’enseignement postsecondaire de qualité aux Nunavummiut adultes du territoire. </w:t>
      </w:r>
    </w:p>
    <w:p w14:paraId="73856D15" w14:textId="0573203F" w:rsidR="004533A1" w:rsidRPr="00CD71E6" w:rsidRDefault="004533A1" w:rsidP="004533A1">
      <w:pPr>
        <w:rPr>
          <w:lang w:val="fr-CA"/>
        </w:rPr>
      </w:pPr>
      <w:r w:rsidRPr="00CD71E6">
        <w:rPr>
          <w:lang w:val="fr-CA"/>
        </w:rPr>
        <w:lastRenderedPageBreak/>
        <w:t xml:space="preserve">La direction actuelle et le Conseil des gouverneurs du Collège de l’Arctique du Nunavut ont établi la nécessité de mettre en place un plan scolaire de dix ans pour esquisser les futurs programmes offerts aux campus ainsi que dans les collectivités. Ce plan aidera à atténuer les effets de la fluctuation vécue par le passé, ainsi qu’à fournir de l’information aux principaux intervenants et au public sur la planification stratégique à long terme au Collège. Le plan scolaire de dix ans est considéré comme une priorité pour la direction administrative du Collège dans le plan d’activités 2019-2020 du Collège de l’Arctique du Nunavut. </w:t>
      </w:r>
    </w:p>
    <w:p w14:paraId="2E3B7B98" w14:textId="58EC77BC" w:rsidR="004533A1" w:rsidRPr="00CD71E6" w:rsidRDefault="004533A1" w:rsidP="000E2FC1">
      <w:pPr>
        <w:pStyle w:val="Heading3"/>
        <w:rPr>
          <w:lang w:val="fr-CA"/>
        </w:rPr>
      </w:pPr>
      <w:bookmarkStart w:id="65" w:name="_Toc41053717"/>
      <w:r w:rsidRPr="00CD71E6">
        <w:rPr>
          <w:bCs/>
          <w:lang w:val="fr-CA"/>
        </w:rPr>
        <w:t>Expertise spécialisée</w:t>
      </w:r>
      <w:bookmarkEnd w:id="65"/>
    </w:p>
    <w:p w14:paraId="1C8C56BE" w14:textId="60E6BC70" w:rsidR="00A01CDF" w:rsidRPr="00CD71E6" w:rsidRDefault="00A01CDF" w:rsidP="006626DA">
      <w:pPr>
        <w:rPr>
          <w:lang w:val="fr-CA"/>
        </w:rPr>
      </w:pPr>
      <w:r w:rsidRPr="00CD71E6">
        <w:rPr>
          <w:lang w:val="fr-CA"/>
        </w:rPr>
        <w:t>Contrairement à de nombreux autres ministères et organismes, le Collège de l’Arctique du Nunavut compte très peu de postes similaires dotés en grand nombre un peu partout dans le territoire. La plus grande partie des postes du Collège est plutôt constituée de postes considérablement spécialisés.</w:t>
      </w:r>
    </w:p>
    <w:p w14:paraId="632265A5" w14:textId="3BA4B405" w:rsidR="002A5B5B" w:rsidRPr="00CD71E6" w:rsidRDefault="00A01CDF" w:rsidP="006626DA">
      <w:pPr>
        <w:rPr>
          <w:lang w:val="fr-CA"/>
        </w:rPr>
      </w:pPr>
      <w:r w:rsidRPr="00CD71E6">
        <w:rPr>
          <w:lang w:val="fr-CA"/>
        </w:rPr>
        <w:t xml:space="preserve">Cette situation est attribuable au fait que le Collège de l’Arctique du Nunavut est un établissement d’enseignement postsecondaire. On s’attend donc à ce qu’il soit un dépositaire du savoir, à ce qu’il respecte les normes nationales dans différents domaines et à ce qu’il emploie un nombre d’experts grandement spécialisés dans les domaines des programmes offerts par le Collège, y compris, mais sans s’y limiter, les sciences des soins de santé et de la santé, l’éducation, l’éducation de la petite enfance, </w:t>
      </w:r>
      <w:r w:rsidR="00DE5535">
        <w:rPr>
          <w:lang w:val="fr-CA"/>
        </w:rPr>
        <w:br/>
      </w:r>
      <w:r w:rsidRPr="00CD71E6">
        <w:rPr>
          <w:lang w:val="fr-CA"/>
        </w:rPr>
        <w:t xml:space="preserve">la gouvernance municipale et locale, la joaillerie et la métallurgie, les études en gestion, les services sociaux et différents programmes de métiers. Il est important de noter que certains domaines liés aux beaux-arts ou à la culture inuite, comme les études inuites, la production de fourrure et l’interprétation et la traduction, sont exempts de ces exigences. </w:t>
      </w:r>
    </w:p>
    <w:p w14:paraId="613A3D7E" w14:textId="3E562DE8" w:rsidR="006F2025" w:rsidRPr="00CD71E6" w:rsidRDefault="006F2025" w:rsidP="006626DA">
      <w:pPr>
        <w:rPr>
          <w:lang w:val="fr-CA"/>
        </w:rPr>
      </w:pPr>
      <w:r w:rsidRPr="00CD71E6">
        <w:rPr>
          <w:lang w:val="fr-CA"/>
        </w:rPr>
        <w:t xml:space="preserve">Pour que les programmes et les crédits du Collège de l’Arctique du Nunavut dans ces domaines soient acceptés par les autres établissements postsecondaires, les membres du Collège doivent avoir obtenu un titre de compétence d’un niveau supérieur au niveau qu’ils enseignent. </w:t>
      </w:r>
    </w:p>
    <w:p w14:paraId="30744A9E" w14:textId="19F528BC" w:rsidR="006F2025" w:rsidRPr="00CD71E6" w:rsidRDefault="006F2025" w:rsidP="006626DA">
      <w:pPr>
        <w:rPr>
          <w:b/>
          <w:lang w:val="fr-CA"/>
        </w:rPr>
      </w:pPr>
      <w:r w:rsidRPr="00CD71E6">
        <w:rPr>
          <w:b/>
          <w:bCs/>
          <w:lang w:val="fr-CA"/>
        </w:rPr>
        <w:t>Niveaux de compétences et exigences d’obtention typiques :</w:t>
      </w:r>
    </w:p>
    <w:p w14:paraId="416F2DBB" w14:textId="13E5DA50" w:rsidR="006F2025" w:rsidRPr="00CD71E6" w:rsidRDefault="006F2025" w:rsidP="00E5791A">
      <w:pPr>
        <w:rPr>
          <w:lang w:val="fr-CA"/>
        </w:rPr>
      </w:pPr>
      <w:r w:rsidRPr="00CD71E6">
        <w:rPr>
          <w:noProof/>
          <w:lang w:val="fr-CA" w:eastAsia="fr-CA"/>
        </w:rPr>
        <w:drawing>
          <wp:inline distT="0" distB="0" distL="0" distR="0" wp14:anchorId="73F4DCFE" wp14:editId="37549761">
            <wp:extent cx="5943600" cy="1632131"/>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33C5DD8" w14:textId="79C5B64D" w:rsidR="006F2025" w:rsidRPr="00CD71E6" w:rsidRDefault="006F2025" w:rsidP="006626DA">
      <w:pPr>
        <w:rPr>
          <w:lang w:val="fr-CA"/>
        </w:rPr>
      </w:pPr>
      <w:r w:rsidRPr="00CD71E6">
        <w:rPr>
          <w:lang w:val="fr-CA"/>
        </w:rPr>
        <w:t>Par exemple, un enseignant au baccalauréat ès sciences du programme de sciences infirmières arctiques nécessiterait une maîtrise en sciences infirmières pour que les crédits du programme soient reconnus par l’Université Dalhousie et soien</w:t>
      </w:r>
      <w:bookmarkStart w:id="66" w:name="_GoBack"/>
      <w:bookmarkEnd w:id="66"/>
      <w:r w:rsidRPr="00CD71E6">
        <w:rPr>
          <w:lang w:val="fr-CA"/>
        </w:rPr>
        <w:t xml:space="preserve">t admissibles à un transfert de crédits, pour finalement mener à l’obtention de ce grade. </w:t>
      </w:r>
    </w:p>
    <w:p w14:paraId="6582C815" w14:textId="63F6C70D" w:rsidR="00997426" w:rsidRPr="00CD71E6" w:rsidRDefault="00997426" w:rsidP="006626DA">
      <w:pPr>
        <w:rPr>
          <w:lang w:val="fr-CA"/>
        </w:rPr>
      </w:pPr>
      <w:r w:rsidRPr="00CD71E6">
        <w:rPr>
          <w:lang w:val="fr-CA"/>
        </w:rPr>
        <w:lastRenderedPageBreak/>
        <w:t xml:space="preserve">Il convient de noter à ce point-ci que ces nombres sont susceptibles de fluctuer comme il a été mentionné dans la sous-section Problématiques et possibilités découlant du passé, puisque les programmes offerts changent entre les régions et les collectivités. </w:t>
      </w:r>
    </w:p>
    <w:p w14:paraId="0D3F35C3" w14:textId="77777777" w:rsidR="001562A0" w:rsidRPr="00CD71E6" w:rsidRDefault="001562A0" w:rsidP="006626DA">
      <w:pPr>
        <w:rPr>
          <w:lang w:val="fr-CA"/>
        </w:rPr>
      </w:pPr>
    </w:p>
    <w:tbl>
      <w:tblPr>
        <w:tblW w:w="8908" w:type="dxa"/>
        <w:tblInd w:w="93" w:type="dxa"/>
        <w:tblLook w:val="04A0" w:firstRow="1" w:lastRow="0" w:firstColumn="1" w:lastColumn="0" w:noHBand="0" w:noVBand="1"/>
      </w:tblPr>
      <w:tblGrid>
        <w:gridCol w:w="974"/>
        <w:gridCol w:w="983"/>
        <w:gridCol w:w="1483"/>
        <w:gridCol w:w="1392"/>
        <w:gridCol w:w="1231"/>
        <w:gridCol w:w="971"/>
        <w:gridCol w:w="1875"/>
      </w:tblGrid>
      <w:tr w:rsidR="00FF1613" w:rsidRPr="00B01B52" w14:paraId="20BE9870" w14:textId="77777777" w:rsidTr="008331D4">
        <w:trPr>
          <w:trHeight w:val="185"/>
        </w:trPr>
        <w:tc>
          <w:tcPr>
            <w:tcW w:w="974" w:type="dxa"/>
            <w:tcBorders>
              <w:top w:val="nil"/>
              <w:left w:val="nil"/>
              <w:bottom w:val="nil"/>
              <w:right w:val="nil"/>
            </w:tcBorders>
            <w:shd w:val="clear" w:color="auto" w:fill="auto"/>
            <w:noWrap/>
            <w:vAlign w:val="bottom"/>
            <w:hideMark/>
          </w:tcPr>
          <w:p w14:paraId="14FBADED" w14:textId="77777777" w:rsidR="00F75C39" w:rsidRPr="00CD71E6" w:rsidRDefault="00F75C39" w:rsidP="00664947">
            <w:pPr>
              <w:keepNext/>
              <w:spacing w:after="0" w:line="240" w:lineRule="auto"/>
              <w:rPr>
                <w:rFonts w:eastAsia="Times New Roman"/>
                <w:color w:val="000000"/>
                <w:kern w:val="0"/>
                <w:szCs w:val="22"/>
                <w:lang w:val="fr-CA"/>
                <w14:ligatures w14:val="none"/>
              </w:rPr>
            </w:pPr>
          </w:p>
        </w:tc>
        <w:tc>
          <w:tcPr>
            <w:tcW w:w="982" w:type="dxa"/>
            <w:tcBorders>
              <w:top w:val="nil"/>
              <w:left w:val="nil"/>
              <w:bottom w:val="nil"/>
              <w:right w:val="nil"/>
            </w:tcBorders>
            <w:shd w:val="clear" w:color="auto" w:fill="auto"/>
            <w:noWrap/>
            <w:vAlign w:val="center"/>
            <w:hideMark/>
          </w:tcPr>
          <w:p w14:paraId="164C16A5" w14:textId="77777777" w:rsidR="00F75C39" w:rsidRPr="00CD71E6" w:rsidRDefault="00F75C39" w:rsidP="00664947">
            <w:pPr>
              <w:keepNext/>
              <w:spacing w:after="0" w:line="240" w:lineRule="auto"/>
              <w:rPr>
                <w:rFonts w:eastAsia="Times New Roman"/>
                <w:b/>
                <w:bCs/>
                <w:color w:val="FFFFFF"/>
                <w:kern w:val="0"/>
                <w:sz w:val="26"/>
                <w:szCs w:val="26"/>
                <w:lang w:val="fr-CA"/>
                <w14:ligatures w14:val="none"/>
              </w:rPr>
            </w:pPr>
          </w:p>
        </w:tc>
        <w:tc>
          <w:tcPr>
            <w:tcW w:w="6952" w:type="dxa"/>
            <w:gridSpan w:val="5"/>
            <w:tcBorders>
              <w:top w:val="nil"/>
              <w:left w:val="nil"/>
              <w:bottom w:val="nil"/>
              <w:right w:val="nil"/>
            </w:tcBorders>
            <w:shd w:val="clear" w:color="000000" w:fill="000000"/>
            <w:noWrap/>
            <w:vAlign w:val="center"/>
            <w:hideMark/>
          </w:tcPr>
          <w:p w14:paraId="000D7E9A" w14:textId="77777777" w:rsidR="00F75C39" w:rsidRPr="00CD71E6" w:rsidRDefault="00F75C39" w:rsidP="00664947">
            <w:pPr>
              <w:keepNext/>
              <w:spacing w:after="0" w:line="240" w:lineRule="auto"/>
              <w:jc w:val="center"/>
              <w:rPr>
                <w:rFonts w:eastAsia="Times New Roman"/>
                <w:b/>
                <w:bCs/>
                <w:color w:val="FFFFFF"/>
                <w:kern w:val="0"/>
                <w:sz w:val="20"/>
                <w:lang w:val="fr-CA"/>
                <w14:ligatures w14:val="none"/>
              </w:rPr>
            </w:pPr>
            <w:r w:rsidRPr="00CD71E6">
              <w:rPr>
                <w:rFonts w:eastAsia="Times New Roman"/>
                <w:b/>
                <w:bCs/>
                <w:color w:val="FFFFFF"/>
                <w:kern w:val="0"/>
                <w:sz w:val="20"/>
                <w:lang w:val="fr-CA"/>
                <w14:ligatures w14:val="none"/>
              </w:rPr>
              <w:t>Postes nécessitant des compétences supérieures</w:t>
            </w:r>
          </w:p>
        </w:tc>
      </w:tr>
      <w:tr w:rsidR="000607F5" w:rsidRPr="00CD71E6" w14:paraId="09D965BE" w14:textId="77777777" w:rsidTr="008331D4">
        <w:trPr>
          <w:trHeight w:val="160"/>
        </w:trPr>
        <w:tc>
          <w:tcPr>
            <w:tcW w:w="974" w:type="dxa"/>
            <w:tcBorders>
              <w:top w:val="nil"/>
              <w:left w:val="nil"/>
              <w:bottom w:val="nil"/>
              <w:right w:val="nil"/>
            </w:tcBorders>
            <w:shd w:val="clear" w:color="auto" w:fill="auto"/>
            <w:vAlign w:val="center"/>
            <w:hideMark/>
          </w:tcPr>
          <w:p w14:paraId="4AEAC6E5" w14:textId="77777777" w:rsidR="00F75C39" w:rsidRPr="00CD71E6" w:rsidRDefault="00F75C39" w:rsidP="00664947">
            <w:pPr>
              <w:keepNext/>
              <w:spacing w:after="0" w:line="240" w:lineRule="auto"/>
              <w:rPr>
                <w:rFonts w:eastAsia="Times New Roman"/>
                <w:color w:val="FFFFFF"/>
                <w:kern w:val="0"/>
                <w:szCs w:val="22"/>
                <w:lang w:val="fr-CA"/>
                <w14:ligatures w14:val="none"/>
              </w:rPr>
            </w:pPr>
          </w:p>
        </w:tc>
        <w:tc>
          <w:tcPr>
            <w:tcW w:w="982" w:type="dxa"/>
            <w:tcBorders>
              <w:top w:val="nil"/>
              <w:left w:val="nil"/>
              <w:bottom w:val="nil"/>
              <w:right w:val="nil"/>
            </w:tcBorders>
            <w:shd w:val="clear" w:color="auto" w:fill="auto"/>
            <w:vAlign w:val="center"/>
            <w:hideMark/>
          </w:tcPr>
          <w:p w14:paraId="2BDD2E3D" w14:textId="77777777" w:rsidR="00F75C39" w:rsidRPr="00CD71E6" w:rsidRDefault="00F75C39" w:rsidP="00664947">
            <w:pPr>
              <w:keepNext/>
              <w:spacing w:after="0" w:line="240" w:lineRule="auto"/>
              <w:rPr>
                <w:rFonts w:eastAsia="Times New Roman"/>
                <w:color w:val="FFFFFF"/>
                <w:kern w:val="0"/>
                <w:szCs w:val="22"/>
                <w:lang w:val="fr-CA"/>
                <w14:ligatures w14:val="none"/>
              </w:rPr>
            </w:pPr>
          </w:p>
        </w:tc>
        <w:tc>
          <w:tcPr>
            <w:tcW w:w="1483" w:type="dxa"/>
            <w:vMerge w:val="restart"/>
            <w:tcBorders>
              <w:top w:val="nil"/>
              <w:left w:val="nil"/>
              <w:bottom w:val="nil"/>
              <w:right w:val="nil"/>
            </w:tcBorders>
            <w:shd w:val="clear" w:color="000000" w:fill="000000"/>
            <w:vAlign w:val="center"/>
            <w:hideMark/>
          </w:tcPr>
          <w:p w14:paraId="5F4394FA" w14:textId="77777777" w:rsidR="00F75C39" w:rsidRPr="00CD71E6" w:rsidRDefault="00F75C39" w:rsidP="00664947">
            <w:pPr>
              <w:keepNext/>
              <w:spacing w:after="0" w:line="240" w:lineRule="auto"/>
              <w:jc w:val="center"/>
              <w:rPr>
                <w:rFonts w:eastAsia="Times New Roman"/>
                <w:b/>
                <w:color w:val="FFFFFF"/>
                <w:kern w:val="0"/>
                <w:sz w:val="20"/>
                <w:lang w:val="fr-CA"/>
                <w14:ligatures w14:val="none"/>
              </w:rPr>
            </w:pPr>
            <w:r w:rsidRPr="00CD71E6">
              <w:rPr>
                <w:rFonts w:eastAsia="Times New Roman"/>
                <w:b/>
                <w:bCs/>
                <w:color w:val="FFFFFF"/>
                <w:kern w:val="0"/>
                <w:sz w:val="20"/>
                <w:lang w:val="fr-CA"/>
                <w14:ligatures w14:val="none"/>
              </w:rPr>
              <w:t>Nombre total de postes</w:t>
            </w:r>
          </w:p>
        </w:tc>
        <w:tc>
          <w:tcPr>
            <w:tcW w:w="1392" w:type="dxa"/>
            <w:vMerge w:val="restart"/>
            <w:tcBorders>
              <w:top w:val="nil"/>
              <w:left w:val="nil"/>
              <w:bottom w:val="nil"/>
              <w:right w:val="nil"/>
            </w:tcBorders>
            <w:shd w:val="clear" w:color="000000" w:fill="000000"/>
            <w:vAlign w:val="center"/>
            <w:hideMark/>
          </w:tcPr>
          <w:p w14:paraId="3EB72B37" w14:textId="615F7310" w:rsidR="00F75C39" w:rsidRPr="00CD71E6" w:rsidRDefault="00F75C39" w:rsidP="00356916">
            <w:pPr>
              <w:keepNext/>
              <w:spacing w:after="0" w:line="240" w:lineRule="auto"/>
              <w:jc w:val="center"/>
              <w:rPr>
                <w:rFonts w:eastAsia="Times New Roman"/>
                <w:b/>
                <w:color w:val="FFFFFF"/>
                <w:kern w:val="0"/>
                <w:sz w:val="20"/>
                <w:lang w:val="fr-CA"/>
                <w14:ligatures w14:val="none"/>
              </w:rPr>
            </w:pPr>
            <w:r w:rsidRPr="00CD71E6">
              <w:rPr>
                <w:rFonts w:eastAsia="Times New Roman"/>
                <w:b/>
                <w:bCs/>
                <w:color w:val="FFFFFF"/>
                <w:kern w:val="0"/>
                <w:sz w:val="20"/>
                <w:lang w:val="fr-CA"/>
                <w14:ligatures w14:val="none"/>
              </w:rPr>
              <w:t xml:space="preserve">Nombre </w:t>
            </w:r>
            <w:r w:rsidR="00356916" w:rsidRPr="00CD71E6">
              <w:rPr>
                <w:rFonts w:eastAsia="Times New Roman"/>
                <w:b/>
                <w:bCs/>
                <w:color w:val="FFFFFF"/>
                <w:kern w:val="0"/>
                <w:sz w:val="20"/>
                <w:lang w:val="fr-CA"/>
                <w14:ligatures w14:val="none"/>
              </w:rPr>
              <w:t>de</w:t>
            </w:r>
            <w:r w:rsidR="00356916">
              <w:rPr>
                <w:rFonts w:eastAsia="Times New Roman"/>
                <w:b/>
                <w:bCs/>
                <w:color w:val="FFFFFF"/>
                <w:kern w:val="0"/>
                <w:sz w:val="20"/>
                <w:lang w:val="fr-CA"/>
                <w14:ligatures w14:val="none"/>
              </w:rPr>
              <w:t> </w:t>
            </w:r>
            <w:r w:rsidRPr="00CD71E6">
              <w:rPr>
                <w:rFonts w:eastAsia="Times New Roman"/>
                <w:b/>
                <w:bCs/>
                <w:color w:val="FFFFFF"/>
                <w:kern w:val="0"/>
                <w:sz w:val="20"/>
                <w:lang w:val="fr-CA"/>
                <w14:ligatures w14:val="none"/>
              </w:rPr>
              <w:t>postes pourvus</w:t>
            </w:r>
          </w:p>
        </w:tc>
        <w:tc>
          <w:tcPr>
            <w:tcW w:w="1231" w:type="dxa"/>
            <w:vMerge w:val="restart"/>
            <w:tcBorders>
              <w:top w:val="nil"/>
              <w:left w:val="nil"/>
              <w:bottom w:val="nil"/>
              <w:right w:val="nil"/>
            </w:tcBorders>
            <w:shd w:val="clear" w:color="000000" w:fill="000000"/>
            <w:vAlign w:val="center"/>
            <w:hideMark/>
          </w:tcPr>
          <w:p w14:paraId="1401A224" w14:textId="77777777" w:rsidR="00F75C39" w:rsidRPr="00CD71E6" w:rsidRDefault="00F75C39" w:rsidP="00664947">
            <w:pPr>
              <w:keepNext/>
              <w:spacing w:after="0" w:line="240" w:lineRule="auto"/>
              <w:jc w:val="center"/>
              <w:rPr>
                <w:rFonts w:eastAsia="Times New Roman"/>
                <w:b/>
                <w:color w:val="FFFFFF"/>
                <w:kern w:val="0"/>
                <w:sz w:val="20"/>
                <w:lang w:val="fr-CA"/>
                <w14:ligatures w14:val="none"/>
              </w:rPr>
            </w:pPr>
            <w:r w:rsidRPr="00CD71E6">
              <w:rPr>
                <w:rFonts w:eastAsia="Times New Roman"/>
                <w:b/>
                <w:bCs/>
                <w:color w:val="FFFFFF"/>
                <w:kern w:val="0"/>
                <w:sz w:val="20"/>
                <w:lang w:val="fr-CA"/>
                <w14:ligatures w14:val="none"/>
              </w:rPr>
              <w:t>Emplois occupés par des Inuits</w:t>
            </w:r>
          </w:p>
        </w:tc>
        <w:tc>
          <w:tcPr>
            <w:tcW w:w="971" w:type="dxa"/>
            <w:vMerge w:val="restart"/>
            <w:tcBorders>
              <w:top w:val="nil"/>
              <w:left w:val="nil"/>
              <w:bottom w:val="nil"/>
              <w:right w:val="nil"/>
            </w:tcBorders>
            <w:shd w:val="clear" w:color="000000" w:fill="000000"/>
            <w:vAlign w:val="center"/>
            <w:hideMark/>
          </w:tcPr>
          <w:p w14:paraId="1DB60BA8" w14:textId="77777777" w:rsidR="00F75C39" w:rsidRPr="00CD71E6" w:rsidRDefault="00F75C39" w:rsidP="00664947">
            <w:pPr>
              <w:keepNext/>
              <w:spacing w:after="0" w:line="240" w:lineRule="auto"/>
              <w:jc w:val="center"/>
              <w:rPr>
                <w:rFonts w:eastAsia="Times New Roman"/>
                <w:b/>
                <w:color w:val="FFFFFF"/>
                <w:kern w:val="0"/>
                <w:sz w:val="20"/>
                <w:lang w:val="fr-CA"/>
                <w14:ligatures w14:val="none"/>
              </w:rPr>
            </w:pPr>
            <w:r w:rsidRPr="00CD71E6">
              <w:rPr>
                <w:rFonts w:eastAsia="Times New Roman"/>
                <w:b/>
                <w:bCs/>
                <w:color w:val="FFFFFF"/>
                <w:kern w:val="0"/>
                <w:sz w:val="20"/>
                <w:lang w:val="fr-CA"/>
                <w14:ligatures w14:val="none"/>
              </w:rPr>
              <w:t>% EI</w:t>
            </w:r>
          </w:p>
        </w:tc>
        <w:tc>
          <w:tcPr>
            <w:tcW w:w="1873" w:type="dxa"/>
            <w:vMerge w:val="restart"/>
            <w:tcBorders>
              <w:top w:val="nil"/>
              <w:left w:val="nil"/>
              <w:bottom w:val="nil"/>
              <w:right w:val="nil"/>
            </w:tcBorders>
            <w:shd w:val="clear" w:color="000000" w:fill="000000"/>
            <w:vAlign w:val="center"/>
            <w:hideMark/>
          </w:tcPr>
          <w:p w14:paraId="6BE9F7EE" w14:textId="77777777" w:rsidR="00F75C39" w:rsidRPr="00CD71E6" w:rsidRDefault="00F75C39" w:rsidP="00664947">
            <w:pPr>
              <w:keepNext/>
              <w:spacing w:after="0" w:line="240" w:lineRule="auto"/>
              <w:jc w:val="center"/>
              <w:rPr>
                <w:rFonts w:eastAsia="Times New Roman"/>
                <w:b/>
                <w:color w:val="FFFFFF"/>
                <w:kern w:val="0"/>
                <w:sz w:val="20"/>
                <w:lang w:val="fr-CA"/>
                <w14:ligatures w14:val="none"/>
              </w:rPr>
            </w:pPr>
            <w:r w:rsidRPr="00CD71E6">
              <w:rPr>
                <w:rFonts w:eastAsia="Times New Roman"/>
                <w:b/>
                <w:bCs/>
                <w:color w:val="FFFFFF"/>
                <w:kern w:val="0"/>
                <w:sz w:val="20"/>
                <w:lang w:val="fr-CA"/>
                <w14:ligatures w14:val="none"/>
              </w:rPr>
              <w:t>CNP</w:t>
            </w:r>
          </w:p>
        </w:tc>
      </w:tr>
      <w:tr w:rsidR="000607F5" w:rsidRPr="00CD71E6" w14:paraId="14020A24" w14:textId="77777777" w:rsidTr="008331D4">
        <w:trPr>
          <w:trHeight w:val="169"/>
        </w:trPr>
        <w:tc>
          <w:tcPr>
            <w:tcW w:w="974" w:type="dxa"/>
            <w:tcBorders>
              <w:top w:val="nil"/>
              <w:left w:val="nil"/>
              <w:bottom w:val="nil"/>
              <w:right w:val="nil"/>
            </w:tcBorders>
            <w:shd w:val="clear" w:color="auto" w:fill="auto"/>
            <w:vAlign w:val="center"/>
            <w:hideMark/>
          </w:tcPr>
          <w:p w14:paraId="7420DC4C" w14:textId="3E3C67D9" w:rsidR="00F75C39" w:rsidRPr="00CD71E6" w:rsidRDefault="00F75C39" w:rsidP="00664947">
            <w:pPr>
              <w:keepNext/>
              <w:spacing w:after="0" w:line="240" w:lineRule="auto"/>
              <w:rPr>
                <w:rFonts w:eastAsia="Times New Roman"/>
                <w:color w:val="FFFFFF"/>
                <w:kern w:val="0"/>
                <w:szCs w:val="22"/>
                <w:lang w:val="fr-CA"/>
                <w14:ligatures w14:val="none"/>
              </w:rPr>
            </w:pPr>
          </w:p>
        </w:tc>
        <w:tc>
          <w:tcPr>
            <w:tcW w:w="982" w:type="dxa"/>
            <w:tcBorders>
              <w:top w:val="nil"/>
              <w:left w:val="nil"/>
              <w:bottom w:val="nil"/>
              <w:right w:val="nil"/>
            </w:tcBorders>
            <w:shd w:val="clear" w:color="auto" w:fill="auto"/>
            <w:vAlign w:val="center"/>
            <w:hideMark/>
          </w:tcPr>
          <w:p w14:paraId="2BB04B3E" w14:textId="77777777" w:rsidR="00F75C39" w:rsidRPr="00CD71E6" w:rsidRDefault="00F75C39" w:rsidP="00664947">
            <w:pPr>
              <w:keepNext/>
              <w:spacing w:after="0" w:line="240" w:lineRule="auto"/>
              <w:rPr>
                <w:rFonts w:eastAsia="Times New Roman"/>
                <w:color w:val="FFFFFF"/>
                <w:kern w:val="0"/>
                <w:szCs w:val="22"/>
                <w:lang w:val="fr-CA"/>
                <w14:ligatures w14:val="none"/>
              </w:rPr>
            </w:pPr>
          </w:p>
        </w:tc>
        <w:tc>
          <w:tcPr>
            <w:tcW w:w="1483" w:type="dxa"/>
            <w:vMerge/>
            <w:tcBorders>
              <w:top w:val="nil"/>
              <w:left w:val="nil"/>
              <w:bottom w:val="nil"/>
              <w:right w:val="nil"/>
            </w:tcBorders>
            <w:vAlign w:val="center"/>
            <w:hideMark/>
          </w:tcPr>
          <w:p w14:paraId="25435820" w14:textId="77777777" w:rsidR="00F75C39" w:rsidRPr="00CD71E6" w:rsidRDefault="00F75C39" w:rsidP="00664947">
            <w:pPr>
              <w:keepNext/>
              <w:spacing w:after="0" w:line="240" w:lineRule="auto"/>
              <w:rPr>
                <w:rFonts w:eastAsia="Times New Roman"/>
                <w:color w:val="FFFFFF"/>
                <w:kern w:val="0"/>
                <w:szCs w:val="22"/>
                <w:lang w:val="fr-CA"/>
                <w14:ligatures w14:val="none"/>
              </w:rPr>
            </w:pPr>
          </w:p>
        </w:tc>
        <w:tc>
          <w:tcPr>
            <w:tcW w:w="1392" w:type="dxa"/>
            <w:vMerge/>
            <w:tcBorders>
              <w:top w:val="nil"/>
              <w:left w:val="nil"/>
              <w:bottom w:val="nil"/>
              <w:right w:val="nil"/>
            </w:tcBorders>
            <w:vAlign w:val="center"/>
            <w:hideMark/>
          </w:tcPr>
          <w:p w14:paraId="23988BDC" w14:textId="77777777" w:rsidR="00F75C39" w:rsidRPr="00CD71E6" w:rsidRDefault="00F75C39" w:rsidP="00664947">
            <w:pPr>
              <w:keepNext/>
              <w:spacing w:after="0" w:line="240" w:lineRule="auto"/>
              <w:rPr>
                <w:rFonts w:eastAsia="Times New Roman"/>
                <w:color w:val="FFFFFF"/>
                <w:kern w:val="0"/>
                <w:szCs w:val="22"/>
                <w:lang w:val="fr-CA"/>
                <w14:ligatures w14:val="none"/>
              </w:rPr>
            </w:pPr>
          </w:p>
        </w:tc>
        <w:tc>
          <w:tcPr>
            <w:tcW w:w="1231" w:type="dxa"/>
            <w:vMerge/>
            <w:tcBorders>
              <w:top w:val="nil"/>
              <w:left w:val="nil"/>
              <w:bottom w:val="nil"/>
              <w:right w:val="nil"/>
            </w:tcBorders>
            <w:vAlign w:val="center"/>
            <w:hideMark/>
          </w:tcPr>
          <w:p w14:paraId="2E3A2E4C" w14:textId="77777777" w:rsidR="00F75C39" w:rsidRPr="00CD71E6" w:rsidRDefault="00F75C39" w:rsidP="00664947">
            <w:pPr>
              <w:keepNext/>
              <w:spacing w:after="0" w:line="240" w:lineRule="auto"/>
              <w:rPr>
                <w:rFonts w:eastAsia="Times New Roman"/>
                <w:color w:val="FFFFFF"/>
                <w:kern w:val="0"/>
                <w:szCs w:val="22"/>
                <w:lang w:val="fr-CA"/>
                <w14:ligatures w14:val="none"/>
              </w:rPr>
            </w:pPr>
          </w:p>
        </w:tc>
        <w:tc>
          <w:tcPr>
            <w:tcW w:w="971" w:type="dxa"/>
            <w:vMerge/>
            <w:tcBorders>
              <w:top w:val="nil"/>
              <w:left w:val="nil"/>
              <w:bottom w:val="nil"/>
              <w:right w:val="nil"/>
            </w:tcBorders>
            <w:vAlign w:val="center"/>
            <w:hideMark/>
          </w:tcPr>
          <w:p w14:paraId="090ED601" w14:textId="77777777" w:rsidR="00F75C39" w:rsidRPr="00CD71E6" w:rsidRDefault="00F75C39" w:rsidP="00664947">
            <w:pPr>
              <w:keepNext/>
              <w:spacing w:after="0" w:line="240" w:lineRule="auto"/>
              <w:rPr>
                <w:rFonts w:eastAsia="Times New Roman"/>
                <w:color w:val="FFFFFF"/>
                <w:kern w:val="0"/>
                <w:szCs w:val="22"/>
                <w:lang w:val="fr-CA"/>
                <w14:ligatures w14:val="none"/>
              </w:rPr>
            </w:pPr>
          </w:p>
        </w:tc>
        <w:tc>
          <w:tcPr>
            <w:tcW w:w="1873" w:type="dxa"/>
            <w:vMerge/>
            <w:tcBorders>
              <w:top w:val="nil"/>
              <w:left w:val="nil"/>
              <w:bottom w:val="nil"/>
              <w:right w:val="nil"/>
            </w:tcBorders>
            <w:vAlign w:val="center"/>
            <w:hideMark/>
          </w:tcPr>
          <w:p w14:paraId="1934A747" w14:textId="77777777" w:rsidR="00F75C39" w:rsidRPr="00CD71E6" w:rsidRDefault="00F75C39" w:rsidP="00664947">
            <w:pPr>
              <w:keepNext/>
              <w:spacing w:after="0" w:line="240" w:lineRule="auto"/>
              <w:rPr>
                <w:rFonts w:eastAsia="Times New Roman"/>
                <w:color w:val="FFFFFF"/>
                <w:kern w:val="0"/>
                <w:szCs w:val="22"/>
                <w:lang w:val="fr-CA"/>
                <w14:ligatures w14:val="none"/>
              </w:rPr>
            </w:pPr>
          </w:p>
        </w:tc>
      </w:tr>
      <w:tr w:rsidR="00684922" w:rsidRPr="00CD71E6" w14:paraId="15BB94FF" w14:textId="77777777" w:rsidTr="008331D4">
        <w:trPr>
          <w:trHeight w:val="160"/>
        </w:trPr>
        <w:tc>
          <w:tcPr>
            <w:tcW w:w="1957" w:type="dxa"/>
            <w:gridSpan w:val="2"/>
            <w:tcBorders>
              <w:top w:val="single" w:sz="8" w:space="0" w:color="auto"/>
              <w:left w:val="nil"/>
              <w:bottom w:val="nil"/>
              <w:right w:val="nil"/>
            </w:tcBorders>
            <w:shd w:val="clear" w:color="auto" w:fill="auto"/>
            <w:noWrap/>
            <w:vAlign w:val="center"/>
            <w:hideMark/>
          </w:tcPr>
          <w:p w14:paraId="2D4BB529" w14:textId="149D611D" w:rsidR="00F75C39" w:rsidRPr="00CD71E6" w:rsidRDefault="00242367" w:rsidP="00664947">
            <w:pPr>
              <w:keepNext/>
              <w:spacing w:after="0" w:line="240" w:lineRule="auto"/>
              <w:jc w:val="right"/>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 xml:space="preserve">Niveau de maîtrise </w:t>
            </w:r>
          </w:p>
        </w:tc>
        <w:tc>
          <w:tcPr>
            <w:tcW w:w="1483" w:type="dxa"/>
            <w:tcBorders>
              <w:top w:val="single" w:sz="8" w:space="0" w:color="auto"/>
              <w:left w:val="nil"/>
              <w:bottom w:val="nil"/>
              <w:right w:val="nil"/>
            </w:tcBorders>
            <w:shd w:val="clear" w:color="auto" w:fill="auto"/>
            <w:noWrap/>
            <w:vAlign w:val="center"/>
            <w:hideMark/>
          </w:tcPr>
          <w:p w14:paraId="4C71B492" w14:textId="77777777" w:rsidR="00F75C39" w:rsidRPr="00CD71E6" w:rsidRDefault="00F75C39" w:rsidP="00664947">
            <w:pPr>
              <w:keepNext/>
              <w:spacing w:after="0" w:line="240" w:lineRule="auto"/>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 </w:t>
            </w:r>
          </w:p>
        </w:tc>
        <w:tc>
          <w:tcPr>
            <w:tcW w:w="1392" w:type="dxa"/>
            <w:tcBorders>
              <w:top w:val="single" w:sz="8" w:space="0" w:color="auto"/>
              <w:left w:val="nil"/>
              <w:bottom w:val="nil"/>
              <w:right w:val="nil"/>
            </w:tcBorders>
            <w:shd w:val="clear" w:color="auto" w:fill="auto"/>
            <w:noWrap/>
            <w:vAlign w:val="center"/>
            <w:hideMark/>
          </w:tcPr>
          <w:p w14:paraId="4129143D" w14:textId="77777777" w:rsidR="00F75C39" w:rsidRPr="00CD71E6" w:rsidRDefault="00F75C39" w:rsidP="00664947">
            <w:pPr>
              <w:keepNext/>
              <w:spacing w:after="0" w:line="240" w:lineRule="auto"/>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 </w:t>
            </w:r>
          </w:p>
        </w:tc>
        <w:tc>
          <w:tcPr>
            <w:tcW w:w="1231" w:type="dxa"/>
            <w:tcBorders>
              <w:top w:val="single" w:sz="8" w:space="0" w:color="auto"/>
              <w:left w:val="nil"/>
              <w:bottom w:val="nil"/>
              <w:right w:val="nil"/>
            </w:tcBorders>
            <w:shd w:val="clear" w:color="auto" w:fill="auto"/>
            <w:noWrap/>
            <w:vAlign w:val="center"/>
            <w:hideMark/>
          </w:tcPr>
          <w:p w14:paraId="5FFA41C6" w14:textId="77777777" w:rsidR="00F75C39" w:rsidRPr="00CD71E6" w:rsidRDefault="00F75C39" w:rsidP="00664947">
            <w:pPr>
              <w:keepNext/>
              <w:spacing w:after="0" w:line="240" w:lineRule="auto"/>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 </w:t>
            </w:r>
          </w:p>
        </w:tc>
        <w:tc>
          <w:tcPr>
            <w:tcW w:w="971" w:type="dxa"/>
            <w:tcBorders>
              <w:top w:val="single" w:sz="8" w:space="0" w:color="auto"/>
              <w:left w:val="nil"/>
              <w:bottom w:val="nil"/>
              <w:right w:val="nil"/>
            </w:tcBorders>
            <w:shd w:val="clear" w:color="auto" w:fill="auto"/>
            <w:noWrap/>
            <w:vAlign w:val="center"/>
            <w:hideMark/>
          </w:tcPr>
          <w:p w14:paraId="1EBA2C10" w14:textId="77777777" w:rsidR="00F75C39" w:rsidRPr="00CD71E6" w:rsidRDefault="00F75C39" w:rsidP="00664947">
            <w:pPr>
              <w:keepNext/>
              <w:spacing w:after="0" w:line="240" w:lineRule="auto"/>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 </w:t>
            </w:r>
          </w:p>
        </w:tc>
        <w:tc>
          <w:tcPr>
            <w:tcW w:w="1873" w:type="dxa"/>
            <w:tcBorders>
              <w:top w:val="single" w:sz="8" w:space="0" w:color="auto"/>
              <w:left w:val="nil"/>
              <w:bottom w:val="nil"/>
              <w:right w:val="nil"/>
            </w:tcBorders>
            <w:shd w:val="clear" w:color="auto" w:fill="auto"/>
            <w:noWrap/>
            <w:vAlign w:val="center"/>
            <w:hideMark/>
          </w:tcPr>
          <w:p w14:paraId="67392133" w14:textId="77777777" w:rsidR="00F75C39" w:rsidRPr="00CD71E6" w:rsidRDefault="00F75C39" w:rsidP="00664947">
            <w:pPr>
              <w:keepNext/>
              <w:spacing w:after="0" w:line="240" w:lineRule="auto"/>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 </w:t>
            </w:r>
          </w:p>
        </w:tc>
      </w:tr>
      <w:tr w:rsidR="00684922" w:rsidRPr="00CD71E6" w14:paraId="3FC54E41" w14:textId="77777777" w:rsidTr="008331D4">
        <w:trPr>
          <w:trHeight w:val="160"/>
        </w:trPr>
        <w:tc>
          <w:tcPr>
            <w:tcW w:w="1957" w:type="dxa"/>
            <w:gridSpan w:val="2"/>
            <w:tcBorders>
              <w:top w:val="nil"/>
              <w:left w:val="nil"/>
              <w:right w:val="nil"/>
            </w:tcBorders>
            <w:shd w:val="clear" w:color="auto" w:fill="auto"/>
            <w:noWrap/>
            <w:vAlign w:val="center"/>
            <w:hideMark/>
          </w:tcPr>
          <w:p w14:paraId="584FAA97" w14:textId="74A34629" w:rsidR="00F75C39" w:rsidRPr="00CD71E6" w:rsidRDefault="00F75C39" w:rsidP="00F75C39">
            <w:pPr>
              <w:spacing w:after="0" w:line="240" w:lineRule="auto"/>
              <w:jc w:val="right"/>
              <w:rPr>
                <w:rFonts w:eastAsia="Times New Roman"/>
                <w:color w:val="000000"/>
                <w:kern w:val="0"/>
                <w:sz w:val="20"/>
                <w:lang w:val="fr-CA"/>
                <w14:ligatures w14:val="none"/>
              </w:rPr>
            </w:pPr>
            <w:r w:rsidRPr="00CD71E6">
              <w:rPr>
                <w:rFonts w:eastAsia="Times New Roman"/>
                <w:color w:val="000000"/>
                <w:kern w:val="0"/>
                <w:sz w:val="20"/>
                <w:lang w:val="fr-CA"/>
                <w14:ligatures w14:val="none"/>
              </w:rPr>
              <w:t xml:space="preserve">Cadre intermédiaire </w:t>
            </w:r>
          </w:p>
        </w:tc>
        <w:tc>
          <w:tcPr>
            <w:tcW w:w="1483" w:type="dxa"/>
            <w:tcBorders>
              <w:top w:val="nil"/>
              <w:left w:val="nil"/>
              <w:right w:val="nil"/>
            </w:tcBorders>
            <w:shd w:val="clear" w:color="auto" w:fill="auto"/>
            <w:noWrap/>
            <w:vAlign w:val="center"/>
            <w:hideMark/>
          </w:tcPr>
          <w:p w14:paraId="0350464A" w14:textId="20B95F63" w:rsidR="00F75C39" w:rsidRPr="00CD71E6" w:rsidRDefault="00A54AC1"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10,00</w:t>
            </w:r>
          </w:p>
        </w:tc>
        <w:tc>
          <w:tcPr>
            <w:tcW w:w="1392" w:type="dxa"/>
            <w:tcBorders>
              <w:top w:val="nil"/>
              <w:left w:val="nil"/>
              <w:right w:val="nil"/>
            </w:tcBorders>
            <w:shd w:val="clear" w:color="auto" w:fill="auto"/>
            <w:noWrap/>
            <w:vAlign w:val="center"/>
            <w:hideMark/>
          </w:tcPr>
          <w:p w14:paraId="39A539C8" w14:textId="58EDBBDB" w:rsidR="00F75C39" w:rsidRPr="00CD71E6" w:rsidRDefault="005D610F"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8</w:t>
            </w:r>
            <w:r w:rsidR="00356916">
              <w:rPr>
                <w:rFonts w:eastAsia="Times New Roman"/>
                <w:color w:val="000000"/>
                <w:kern w:val="0"/>
                <w:sz w:val="20"/>
                <w:lang w:val="fr-CA"/>
                <w14:ligatures w14:val="none"/>
              </w:rPr>
              <w:t>,00</w:t>
            </w:r>
          </w:p>
        </w:tc>
        <w:tc>
          <w:tcPr>
            <w:tcW w:w="1231" w:type="dxa"/>
            <w:tcBorders>
              <w:top w:val="nil"/>
              <w:left w:val="nil"/>
              <w:right w:val="nil"/>
            </w:tcBorders>
            <w:shd w:val="clear" w:color="auto" w:fill="auto"/>
            <w:noWrap/>
            <w:vAlign w:val="center"/>
            <w:hideMark/>
          </w:tcPr>
          <w:p w14:paraId="12A690A4" w14:textId="2869D37E" w:rsidR="00F75C39" w:rsidRPr="00CD71E6" w:rsidRDefault="00A54AC1"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5</w:t>
            </w:r>
            <w:r w:rsidR="00356916">
              <w:rPr>
                <w:rFonts w:eastAsia="Times New Roman"/>
                <w:color w:val="000000"/>
                <w:kern w:val="0"/>
                <w:sz w:val="20"/>
                <w:lang w:val="fr-CA"/>
                <w14:ligatures w14:val="none"/>
              </w:rPr>
              <w:t>,00</w:t>
            </w:r>
          </w:p>
        </w:tc>
        <w:tc>
          <w:tcPr>
            <w:tcW w:w="971" w:type="dxa"/>
            <w:tcBorders>
              <w:top w:val="nil"/>
              <w:left w:val="nil"/>
              <w:right w:val="nil"/>
            </w:tcBorders>
            <w:shd w:val="clear" w:color="auto" w:fill="auto"/>
            <w:noWrap/>
            <w:vAlign w:val="center"/>
            <w:hideMark/>
          </w:tcPr>
          <w:p w14:paraId="1B07AC09" w14:textId="2C5512D2" w:rsidR="00F75C39" w:rsidRPr="00CD71E6" w:rsidRDefault="005D610F"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62 %</w:t>
            </w:r>
          </w:p>
        </w:tc>
        <w:tc>
          <w:tcPr>
            <w:tcW w:w="1873" w:type="dxa"/>
            <w:tcBorders>
              <w:top w:val="nil"/>
              <w:left w:val="nil"/>
              <w:right w:val="nil"/>
            </w:tcBorders>
            <w:shd w:val="clear" w:color="auto" w:fill="auto"/>
            <w:noWrap/>
            <w:vAlign w:val="center"/>
            <w:hideMark/>
          </w:tcPr>
          <w:p w14:paraId="105FA18D" w14:textId="1D16E67B" w:rsidR="00F75C39" w:rsidRPr="00CD71E6" w:rsidRDefault="00F75C39"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4161/0413</w:t>
            </w:r>
          </w:p>
        </w:tc>
      </w:tr>
      <w:tr w:rsidR="00684922" w:rsidRPr="00CD71E6" w14:paraId="01050BA1" w14:textId="77777777" w:rsidTr="008331D4">
        <w:trPr>
          <w:trHeight w:val="160"/>
        </w:trPr>
        <w:tc>
          <w:tcPr>
            <w:tcW w:w="1957" w:type="dxa"/>
            <w:gridSpan w:val="2"/>
            <w:tcBorders>
              <w:top w:val="nil"/>
              <w:left w:val="nil"/>
              <w:bottom w:val="single" w:sz="8" w:space="0" w:color="auto"/>
              <w:right w:val="nil"/>
            </w:tcBorders>
            <w:shd w:val="clear" w:color="auto" w:fill="auto"/>
            <w:noWrap/>
            <w:vAlign w:val="center"/>
            <w:hideMark/>
          </w:tcPr>
          <w:p w14:paraId="0F57D7A7" w14:textId="56BFC486" w:rsidR="00F75C39" w:rsidRPr="00CD71E6" w:rsidRDefault="00F75C39" w:rsidP="00F75C39">
            <w:pPr>
              <w:spacing w:after="0" w:line="240" w:lineRule="auto"/>
              <w:jc w:val="right"/>
              <w:rPr>
                <w:rFonts w:eastAsia="Times New Roman"/>
                <w:color w:val="000000"/>
                <w:kern w:val="0"/>
                <w:sz w:val="20"/>
                <w:lang w:val="fr-CA"/>
                <w14:ligatures w14:val="none"/>
              </w:rPr>
            </w:pPr>
            <w:r w:rsidRPr="00CD71E6">
              <w:rPr>
                <w:rFonts w:eastAsia="Times New Roman"/>
                <w:color w:val="000000"/>
                <w:kern w:val="0"/>
                <w:sz w:val="20"/>
                <w:lang w:val="fr-CA"/>
                <w14:ligatures w14:val="none"/>
              </w:rPr>
              <w:t xml:space="preserve">Profession libérale </w:t>
            </w:r>
          </w:p>
        </w:tc>
        <w:tc>
          <w:tcPr>
            <w:tcW w:w="1483" w:type="dxa"/>
            <w:tcBorders>
              <w:top w:val="nil"/>
              <w:left w:val="nil"/>
              <w:bottom w:val="single" w:sz="8" w:space="0" w:color="auto"/>
              <w:right w:val="nil"/>
            </w:tcBorders>
            <w:shd w:val="clear" w:color="auto" w:fill="auto"/>
            <w:noWrap/>
            <w:vAlign w:val="center"/>
            <w:hideMark/>
          </w:tcPr>
          <w:p w14:paraId="37F8D272" w14:textId="3E06E6D1" w:rsidR="00F75C39" w:rsidRPr="00CD71E6" w:rsidRDefault="001562A0"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37,00</w:t>
            </w:r>
          </w:p>
        </w:tc>
        <w:tc>
          <w:tcPr>
            <w:tcW w:w="1392" w:type="dxa"/>
            <w:tcBorders>
              <w:top w:val="nil"/>
              <w:left w:val="nil"/>
              <w:bottom w:val="single" w:sz="8" w:space="0" w:color="auto"/>
              <w:right w:val="nil"/>
            </w:tcBorders>
            <w:shd w:val="clear" w:color="auto" w:fill="auto"/>
            <w:noWrap/>
            <w:vAlign w:val="center"/>
            <w:hideMark/>
          </w:tcPr>
          <w:p w14:paraId="5FAE42C4" w14:textId="18C3A2D2" w:rsidR="00F75C39" w:rsidRPr="00CD71E6" w:rsidRDefault="001562A0"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27,00</w:t>
            </w:r>
          </w:p>
        </w:tc>
        <w:tc>
          <w:tcPr>
            <w:tcW w:w="1231" w:type="dxa"/>
            <w:tcBorders>
              <w:top w:val="nil"/>
              <w:left w:val="nil"/>
              <w:bottom w:val="single" w:sz="8" w:space="0" w:color="auto"/>
              <w:right w:val="nil"/>
            </w:tcBorders>
            <w:shd w:val="clear" w:color="auto" w:fill="auto"/>
            <w:noWrap/>
            <w:vAlign w:val="center"/>
            <w:hideMark/>
          </w:tcPr>
          <w:p w14:paraId="3B4453DD" w14:textId="01141054" w:rsidR="00F75C39" w:rsidRPr="00CD71E6" w:rsidRDefault="001562A0"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4,00</w:t>
            </w:r>
          </w:p>
        </w:tc>
        <w:tc>
          <w:tcPr>
            <w:tcW w:w="971" w:type="dxa"/>
            <w:tcBorders>
              <w:top w:val="nil"/>
              <w:left w:val="nil"/>
              <w:bottom w:val="single" w:sz="8" w:space="0" w:color="auto"/>
              <w:right w:val="nil"/>
            </w:tcBorders>
            <w:shd w:val="clear" w:color="auto" w:fill="auto"/>
            <w:noWrap/>
            <w:vAlign w:val="center"/>
            <w:hideMark/>
          </w:tcPr>
          <w:p w14:paraId="47520606" w14:textId="4A67925D" w:rsidR="00F75C39" w:rsidRPr="00CD71E6" w:rsidRDefault="00E568E9"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15 %</w:t>
            </w:r>
          </w:p>
        </w:tc>
        <w:tc>
          <w:tcPr>
            <w:tcW w:w="1873" w:type="dxa"/>
            <w:tcBorders>
              <w:top w:val="nil"/>
              <w:left w:val="nil"/>
              <w:bottom w:val="single" w:sz="8" w:space="0" w:color="auto"/>
              <w:right w:val="nil"/>
            </w:tcBorders>
            <w:shd w:val="clear" w:color="auto" w:fill="auto"/>
            <w:noWrap/>
            <w:vAlign w:val="center"/>
            <w:hideMark/>
          </w:tcPr>
          <w:p w14:paraId="30BDEB9F" w14:textId="3E2D6EA9" w:rsidR="00F75C39" w:rsidRPr="00CD71E6" w:rsidRDefault="00F75C39"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4021/0421/4131</w:t>
            </w:r>
          </w:p>
        </w:tc>
      </w:tr>
      <w:tr w:rsidR="00684922" w:rsidRPr="00B01B52" w14:paraId="121C9B4E" w14:textId="77777777" w:rsidTr="008331D4">
        <w:trPr>
          <w:trHeight w:val="160"/>
        </w:trPr>
        <w:tc>
          <w:tcPr>
            <w:tcW w:w="1957" w:type="dxa"/>
            <w:gridSpan w:val="2"/>
            <w:tcBorders>
              <w:top w:val="single" w:sz="8" w:space="0" w:color="auto"/>
              <w:left w:val="nil"/>
              <w:bottom w:val="nil"/>
              <w:right w:val="nil"/>
            </w:tcBorders>
            <w:shd w:val="clear" w:color="auto" w:fill="auto"/>
            <w:noWrap/>
            <w:vAlign w:val="bottom"/>
            <w:hideMark/>
          </w:tcPr>
          <w:p w14:paraId="64C9F296" w14:textId="25CE0767" w:rsidR="00F75C39" w:rsidRPr="00CD71E6" w:rsidRDefault="00F75C39" w:rsidP="00356916">
            <w:pPr>
              <w:spacing w:after="0" w:line="240" w:lineRule="auto"/>
              <w:jc w:val="right"/>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 xml:space="preserve">Niveau Sceau rouge ou un équivalent </w:t>
            </w:r>
            <w:r w:rsidR="00356916" w:rsidRPr="00CD71E6">
              <w:rPr>
                <w:rFonts w:eastAsia="Times New Roman"/>
                <w:b/>
                <w:bCs/>
                <w:color w:val="000000"/>
                <w:kern w:val="0"/>
                <w:sz w:val="20"/>
                <w:lang w:val="fr-CA"/>
                <w14:ligatures w14:val="none"/>
              </w:rPr>
              <w:t>de</w:t>
            </w:r>
            <w:r w:rsidR="00356916">
              <w:rPr>
                <w:rFonts w:eastAsia="Times New Roman"/>
                <w:b/>
                <w:bCs/>
                <w:color w:val="000000"/>
                <w:kern w:val="0"/>
                <w:sz w:val="20"/>
                <w:lang w:val="fr-CA"/>
                <w14:ligatures w14:val="none"/>
              </w:rPr>
              <w:t> </w:t>
            </w:r>
            <w:r w:rsidRPr="00CD71E6">
              <w:rPr>
                <w:rFonts w:eastAsia="Times New Roman"/>
                <w:b/>
                <w:bCs/>
                <w:color w:val="000000"/>
                <w:kern w:val="0"/>
                <w:sz w:val="20"/>
                <w:lang w:val="fr-CA"/>
                <w14:ligatures w14:val="none"/>
              </w:rPr>
              <w:t>l’industrie</w:t>
            </w:r>
          </w:p>
        </w:tc>
        <w:tc>
          <w:tcPr>
            <w:tcW w:w="1483" w:type="dxa"/>
            <w:tcBorders>
              <w:top w:val="single" w:sz="8" w:space="0" w:color="auto"/>
              <w:left w:val="nil"/>
              <w:bottom w:val="nil"/>
              <w:right w:val="nil"/>
            </w:tcBorders>
            <w:shd w:val="clear" w:color="auto" w:fill="auto"/>
            <w:noWrap/>
            <w:vAlign w:val="center"/>
            <w:hideMark/>
          </w:tcPr>
          <w:p w14:paraId="326C6153" w14:textId="77777777" w:rsidR="00F75C39" w:rsidRPr="00CD71E6" w:rsidRDefault="00F75C39" w:rsidP="00F75C39">
            <w:pPr>
              <w:spacing w:after="0" w:line="240" w:lineRule="auto"/>
              <w:jc w:val="center"/>
              <w:rPr>
                <w:rFonts w:eastAsia="Times New Roman"/>
                <w:color w:val="000000"/>
                <w:kern w:val="0"/>
                <w:sz w:val="20"/>
                <w:lang w:val="fr-CA"/>
                <w14:ligatures w14:val="none"/>
              </w:rPr>
            </w:pPr>
          </w:p>
        </w:tc>
        <w:tc>
          <w:tcPr>
            <w:tcW w:w="1392" w:type="dxa"/>
            <w:tcBorders>
              <w:top w:val="single" w:sz="8" w:space="0" w:color="auto"/>
              <w:left w:val="nil"/>
              <w:bottom w:val="nil"/>
              <w:right w:val="nil"/>
            </w:tcBorders>
            <w:shd w:val="clear" w:color="auto" w:fill="auto"/>
            <w:noWrap/>
            <w:vAlign w:val="center"/>
            <w:hideMark/>
          </w:tcPr>
          <w:p w14:paraId="02DE7829" w14:textId="77777777" w:rsidR="00F75C39" w:rsidRPr="00CD71E6" w:rsidRDefault="00F75C39" w:rsidP="00F75C39">
            <w:pPr>
              <w:spacing w:after="0" w:line="240" w:lineRule="auto"/>
              <w:jc w:val="center"/>
              <w:rPr>
                <w:rFonts w:eastAsia="Times New Roman"/>
                <w:color w:val="000000"/>
                <w:kern w:val="0"/>
                <w:sz w:val="20"/>
                <w:lang w:val="fr-CA"/>
                <w14:ligatures w14:val="none"/>
              </w:rPr>
            </w:pPr>
          </w:p>
        </w:tc>
        <w:tc>
          <w:tcPr>
            <w:tcW w:w="1231" w:type="dxa"/>
            <w:tcBorders>
              <w:top w:val="single" w:sz="8" w:space="0" w:color="auto"/>
              <w:left w:val="nil"/>
              <w:bottom w:val="nil"/>
              <w:right w:val="nil"/>
            </w:tcBorders>
            <w:shd w:val="clear" w:color="auto" w:fill="auto"/>
            <w:noWrap/>
            <w:vAlign w:val="center"/>
            <w:hideMark/>
          </w:tcPr>
          <w:p w14:paraId="2BB4698E" w14:textId="77777777" w:rsidR="00F75C39" w:rsidRPr="00CD71E6" w:rsidRDefault="00F75C39" w:rsidP="00F75C39">
            <w:pPr>
              <w:spacing w:after="0" w:line="240" w:lineRule="auto"/>
              <w:jc w:val="center"/>
              <w:rPr>
                <w:rFonts w:eastAsia="Times New Roman"/>
                <w:color w:val="000000"/>
                <w:kern w:val="0"/>
                <w:sz w:val="20"/>
                <w:lang w:val="fr-CA"/>
                <w14:ligatures w14:val="none"/>
              </w:rPr>
            </w:pPr>
          </w:p>
        </w:tc>
        <w:tc>
          <w:tcPr>
            <w:tcW w:w="971" w:type="dxa"/>
            <w:tcBorders>
              <w:top w:val="single" w:sz="8" w:space="0" w:color="auto"/>
              <w:left w:val="nil"/>
              <w:bottom w:val="nil"/>
              <w:right w:val="nil"/>
            </w:tcBorders>
            <w:shd w:val="clear" w:color="auto" w:fill="auto"/>
            <w:noWrap/>
            <w:vAlign w:val="center"/>
            <w:hideMark/>
          </w:tcPr>
          <w:p w14:paraId="434229F4" w14:textId="77777777" w:rsidR="00F75C39" w:rsidRPr="00CD71E6" w:rsidRDefault="00F75C39" w:rsidP="00F75C39">
            <w:pPr>
              <w:spacing w:after="0" w:line="240" w:lineRule="auto"/>
              <w:jc w:val="center"/>
              <w:rPr>
                <w:rFonts w:eastAsia="Times New Roman"/>
                <w:color w:val="000000"/>
                <w:kern w:val="0"/>
                <w:sz w:val="20"/>
                <w:lang w:val="fr-CA"/>
                <w14:ligatures w14:val="none"/>
              </w:rPr>
            </w:pPr>
          </w:p>
        </w:tc>
        <w:tc>
          <w:tcPr>
            <w:tcW w:w="1873" w:type="dxa"/>
            <w:tcBorders>
              <w:top w:val="single" w:sz="8" w:space="0" w:color="auto"/>
              <w:left w:val="nil"/>
              <w:bottom w:val="nil"/>
              <w:right w:val="nil"/>
            </w:tcBorders>
            <w:shd w:val="clear" w:color="auto" w:fill="auto"/>
            <w:noWrap/>
            <w:vAlign w:val="center"/>
            <w:hideMark/>
          </w:tcPr>
          <w:p w14:paraId="5C505D6A" w14:textId="77777777" w:rsidR="00F75C39" w:rsidRPr="00CD71E6" w:rsidRDefault="00F75C39" w:rsidP="00F75C39">
            <w:pPr>
              <w:spacing w:after="0" w:line="240" w:lineRule="auto"/>
              <w:jc w:val="center"/>
              <w:rPr>
                <w:rFonts w:eastAsia="Times New Roman"/>
                <w:color w:val="000000"/>
                <w:kern w:val="0"/>
                <w:sz w:val="20"/>
                <w:lang w:val="fr-CA"/>
                <w14:ligatures w14:val="none"/>
              </w:rPr>
            </w:pPr>
          </w:p>
        </w:tc>
      </w:tr>
      <w:tr w:rsidR="00684922" w:rsidRPr="00CD71E6" w14:paraId="79DE7F2C" w14:textId="77777777" w:rsidTr="008331D4">
        <w:trPr>
          <w:trHeight w:val="169"/>
        </w:trPr>
        <w:tc>
          <w:tcPr>
            <w:tcW w:w="1957" w:type="dxa"/>
            <w:gridSpan w:val="2"/>
            <w:tcBorders>
              <w:top w:val="nil"/>
              <w:left w:val="nil"/>
              <w:bottom w:val="nil"/>
              <w:right w:val="nil"/>
            </w:tcBorders>
            <w:shd w:val="clear" w:color="auto" w:fill="auto"/>
            <w:noWrap/>
            <w:vAlign w:val="center"/>
            <w:hideMark/>
          </w:tcPr>
          <w:p w14:paraId="6E7EB31C" w14:textId="6FFB1200" w:rsidR="00F75C39" w:rsidRPr="00CD71E6" w:rsidRDefault="00F75C39" w:rsidP="00F75C39">
            <w:pPr>
              <w:spacing w:after="0" w:line="240" w:lineRule="auto"/>
              <w:jc w:val="right"/>
              <w:rPr>
                <w:rFonts w:eastAsia="Times New Roman"/>
                <w:color w:val="000000"/>
                <w:kern w:val="0"/>
                <w:sz w:val="20"/>
                <w:lang w:val="fr-CA"/>
                <w14:ligatures w14:val="none"/>
              </w:rPr>
            </w:pPr>
            <w:r w:rsidRPr="00CD71E6">
              <w:rPr>
                <w:rFonts w:eastAsia="Times New Roman"/>
                <w:color w:val="000000"/>
                <w:kern w:val="0"/>
                <w:sz w:val="20"/>
                <w:lang w:val="fr-CA"/>
                <w14:ligatures w14:val="none"/>
              </w:rPr>
              <w:t xml:space="preserve">Profession libérale </w:t>
            </w:r>
          </w:p>
        </w:tc>
        <w:tc>
          <w:tcPr>
            <w:tcW w:w="1483" w:type="dxa"/>
            <w:tcBorders>
              <w:top w:val="nil"/>
              <w:left w:val="nil"/>
              <w:bottom w:val="nil"/>
              <w:right w:val="nil"/>
            </w:tcBorders>
            <w:shd w:val="clear" w:color="auto" w:fill="auto"/>
            <w:noWrap/>
            <w:vAlign w:val="center"/>
            <w:hideMark/>
          </w:tcPr>
          <w:p w14:paraId="0DAA26B8" w14:textId="5BF39970" w:rsidR="00F75C39" w:rsidRPr="00CD71E6" w:rsidRDefault="00923EC6"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20,00</w:t>
            </w:r>
          </w:p>
        </w:tc>
        <w:tc>
          <w:tcPr>
            <w:tcW w:w="1392" w:type="dxa"/>
            <w:tcBorders>
              <w:top w:val="nil"/>
              <w:left w:val="nil"/>
              <w:bottom w:val="nil"/>
              <w:right w:val="nil"/>
            </w:tcBorders>
            <w:shd w:val="clear" w:color="auto" w:fill="auto"/>
            <w:noWrap/>
            <w:vAlign w:val="center"/>
            <w:hideMark/>
          </w:tcPr>
          <w:p w14:paraId="539C29C0" w14:textId="0AC4A93B" w:rsidR="00F75C39" w:rsidRPr="00CD71E6" w:rsidRDefault="000607F5"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10,00</w:t>
            </w:r>
          </w:p>
        </w:tc>
        <w:tc>
          <w:tcPr>
            <w:tcW w:w="1231" w:type="dxa"/>
            <w:tcBorders>
              <w:top w:val="nil"/>
              <w:left w:val="nil"/>
              <w:bottom w:val="nil"/>
              <w:right w:val="nil"/>
            </w:tcBorders>
            <w:shd w:val="clear" w:color="auto" w:fill="auto"/>
            <w:noWrap/>
            <w:vAlign w:val="center"/>
            <w:hideMark/>
          </w:tcPr>
          <w:p w14:paraId="28FA7A7A" w14:textId="77777777" w:rsidR="00F75C39" w:rsidRPr="00CD71E6" w:rsidRDefault="00F75C39"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1,00</w:t>
            </w:r>
          </w:p>
        </w:tc>
        <w:tc>
          <w:tcPr>
            <w:tcW w:w="971" w:type="dxa"/>
            <w:tcBorders>
              <w:top w:val="nil"/>
              <w:left w:val="nil"/>
              <w:bottom w:val="nil"/>
              <w:right w:val="nil"/>
            </w:tcBorders>
            <w:shd w:val="clear" w:color="auto" w:fill="auto"/>
            <w:noWrap/>
            <w:vAlign w:val="center"/>
            <w:hideMark/>
          </w:tcPr>
          <w:p w14:paraId="2C3957FD" w14:textId="103BB47D" w:rsidR="00F75C39" w:rsidRPr="00CD71E6" w:rsidRDefault="00F34B13"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10 %</w:t>
            </w:r>
          </w:p>
        </w:tc>
        <w:tc>
          <w:tcPr>
            <w:tcW w:w="1873" w:type="dxa"/>
            <w:tcBorders>
              <w:top w:val="nil"/>
              <w:left w:val="nil"/>
              <w:bottom w:val="nil"/>
              <w:right w:val="nil"/>
            </w:tcBorders>
            <w:shd w:val="clear" w:color="auto" w:fill="auto"/>
            <w:noWrap/>
            <w:vAlign w:val="center"/>
            <w:hideMark/>
          </w:tcPr>
          <w:p w14:paraId="2EF14B32" w14:textId="7767DD14" w:rsidR="00F75C39" w:rsidRPr="00CD71E6" w:rsidRDefault="00F75C39" w:rsidP="00F75C39">
            <w:pPr>
              <w:spacing w:after="0" w:line="240" w:lineRule="auto"/>
              <w:jc w:val="center"/>
              <w:rPr>
                <w:rFonts w:eastAsia="Times New Roman"/>
                <w:color w:val="000000"/>
                <w:kern w:val="0"/>
                <w:sz w:val="20"/>
                <w:lang w:val="fr-CA"/>
                <w14:ligatures w14:val="none"/>
              </w:rPr>
            </w:pPr>
            <w:r w:rsidRPr="00CD71E6">
              <w:rPr>
                <w:rFonts w:eastAsia="Times New Roman"/>
                <w:color w:val="000000"/>
                <w:kern w:val="0"/>
                <w:sz w:val="20"/>
                <w:lang w:val="fr-CA"/>
                <w14:ligatures w14:val="none"/>
              </w:rPr>
              <w:t>4021/4131</w:t>
            </w:r>
          </w:p>
        </w:tc>
      </w:tr>
      <w:tr w:rsidR="00684922" w:rsidRPr="00CD71E6" w14:paraId="75D311F0" w14:textId="77777777" w:rsidTr="008331D4">
        <w:trPr>
          <w:trHeight w:val="177"/>
        </w:trPr>
        <w:tc>
          <w:tcPr>
            <w:tcW w:w="1957" w:type="dxa"/>
            <w:gridSpan w:val="2"/>
            <w:tcBorders>
              <w:top w:val="single" w:sz="8" w:space="0" w:color="auto"/>
              <w:left w:val="nil"/>
              <w:bottom w:val="single" w:sz="8" w:space="0" w:color="auto"/>
              <w:right w:val="nil"/>
            </w:tcBorders>
            <w:shd w:val="clear" w:color="auto" w:fill="auto"/>
            <w:noWrap/>
            <w:vAlign w:val="center"/>
            <w:hideMark/>
          </w:tcPr>
          <w:p w14:paraId="67C1BC29" w14:textId="77777777" w:rsidR="00F75C39" w:rsidRPr="00CD71E6" w:rsidRDefault="00F75C39" w:rsidP="00F75C39">
            <w:pPr>
              <w:spacing w:after="0" w:line="240" w:lineRule="auto"/>
              <w:jc w:val="right"/>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Total des catégories</w:t>
            </w:r>
          </w:p>
        </w:tc>
        <w:tc>
          <w:tcPr>
            <w:tcW w:w="1483" w:type="dxa"/>
            <w:tcBorders>
              <w:top w:val="single" w:sz="8" w:space="0" w:color="auto"/>
              <w:left w:val="nil"/>
              <w:bottom w:val="single" w:sz="8" w:space="0" w:color="auto"/>
              <w:right w:val="nil"/>
            </w:tcBorders>
            <w:shd w:val="clear" w:color="auto" w:fill="auto"/>
            <w:noWrap/>
            <w:vAlign w:val="center"/>
            <w:hideMark/>
          </w:tcPr>
          <w:p w14:paraId="0E5C506E" w14:textId="61087C4A" w:rsidR="00F75C39" w:rsidRPr="00CD71E6" w:rsidRDefault="00F7526F" w:rsidP="00F75C39">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57,00</w:t>
            </w:r>
          </w:p>
        </w:tc>
        <w:tc>
          <w:tcPr>
            <w:tcW w:w="1392" w:type="dxa"/>
            <w:tcBorders>
              <w:top w:val="single" w:sz="8" w:space="0" w:color="auto"/>
              <w:left w:val="nil"/>
              <w:bottom w:val="single" w:sz="8" w:space="0" w:color="auto"/>
              <w:right w:val="nil"/>
            </w:tcBorders>
            <w:shd w:val="clear" w:color="auto" w:fill="auto"/>
            <w:noWrap/>
            <w:vAlign w:val="center"/>
            <w:hideMark/>
          </w:tcPr>
          <w:p w14:paraId="06865625" w14:textId="0C4D9E51" w:rsidR="00F75C39" w:rsidRPr="00CD71E6" w:rsidRDefault="00684922" w:rsidP="00F75C39">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45,00</w:t>
            </w:r>
          </w:p>
        </w:tc>
        <w:tc>
          <w:tcPr>
            <w:tcW w:w="1231" w:type="dxa"/>
            <w:tcBorders>
              <w:top w:val="single" w:sz="8" w:space="0" w:color="auto"/>
              <w:left w:val="nil"/>
              <w:bottom w:val="single" w:sz="8" w:space="0" w:color="auto"/>
              <w:right w:val="nil"/>
            </w:tcBorders>
            <w:shd w:val="clear" w:color="auto" w:fill="auto"/>
            <w:noWrap/>
            <w:vAlign w:val="center"/>
            <w:hideMark/>
          </w:tcPr>
          <w:p w14:paraId="6AA3762C" w14:textId="41EEC480" w:rsidR="00F75C39" w:rsidRPr="00CD71E6" w:rsidRDefault="00684922" w:rsidP="00F75C39">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10,00</w:t>
            </w:r>
          </w:p>
        </w:tc>
        <w:tc>
          <w:tcPr>
            <w:tcW w:w="971" w:type="dxa"/>
            <w:tcBorders>
              <w:top w:val="single" w:sz="8" w:space="0" w:color="auto"/>
              <w:left w:val="nil"/>
              <w:bottom w:val="single" w:sz="8" w:space="0" w:color="auto"/>
              <w:right w:val="nil"/>
            </w:tcBorders>
            <w:shd w:val="clear" w:color="auto" w:fill="auto"/>
            <w:noWrap/>
            <w:vAlign w:val="center"/>
            <w:hideMark/>
          </w:tcPr>
          <w:p w14:paraId="1BF960AF" w14:textId="44375239" w:rsidR="00F75C39" w:rsidRPr="00CD71E6" w:rsidRDefault="00AF203A" w:rsidP="00F75C39">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22 %</w:t>
            </w:r>
          </w:p>
        </w:tc>
        <w:tc>
          <w:tcPr>
            <w:tcW w:w="1873" w:type="dxa"/>
            <w:tcBorders>
              <w:top w:val="single" w:sz="8" w:space="0" w:color="auto"/>
              <w:left w:val="nil"/>
              <w:bottom w:val="single" w:sz="8" w:space="0" w:color="auto"/>
              <w:right w:val="nil"/>
            </w:tcBorders>
            <w:shd w:val="clear" w:color="auto" w:fill="auto"/>
            <w:noWrap/>
            <w:vAlign w:val="center"/>
            <w:hideMark/>
          </w:tcPr>
          <w:p w14:paraId="48FEE63A" w14:textId="77777777" w:rsidR="00F75C39" w:rsidRPr="00CD71E6" w:rsidRDefault="00F75C39" w:rsidP="00F75C39">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 </w:t>
            </w:r>
          </w:p>
        </w:tc>
      </w:tr>
      <w:tr w:rsidR="00684922" w:rsidRPr="00CD71E6" w14:paraId="72259093" w14:textId="77777777" w:rsidTr="008331D4">
        <w:trPr>
          <w:trHeight w:val="160"/>
        </w:trPr>
        <w:tc>
          <w:tcPr>
            <w:tcW w:w="974" w:type="dxa"/>
            <w:tcBorders>
              <w:top w:val="nil"/>
              <w:left w:val="nil"/>
              <w:bottom w:val="nil"/>
              <w:right w:val="nil"/>
            </w:tcBorders>
            <w:shd w:val="clear" w:color="auto" w:fill="auto"/>
            <w:noWrap/>
            <w:vAlign w:val="bottom"/>
            <w:hideMark/>
          </w:tcPr>
          <w:p w14:paraId="3D642058" w14:textId="77777777" w:rsidR="00F75C39" w:rsidRPr="00CD71E6" w:rsidRDefault="00F75C39" w:rsidP="00F75C39">
            <w:pPr>
              <w:spacing w:after="0" w:line="240" w:lineRule="auto"/>
              <w:rPr>
                <w:rFonts w:eastAsia="Times New Roman"/>
                <w:color w:val="000000"/>
                <w:kern w:val="0"/>
                <w:szCs w:val="22"/>
                <w:lang w:val="fr-CA"/>
                <w14:ligatures w14:val="none"/>
              </w:rPr>
            </w:pPr>
          </w:p>
        </w:tc>
        <w:tc>
          <w:tcPr>
            <w:tcW w:w="982" w:type="dxa"/>
            <w:tcBorders>
              <w:top w:val="nil"/>
              <w:left w:val="nil"/>
              <w:bottom w:val="nil"/>
              <w:right w:val="nil"/>
            </w:tcBorders>
            <w:shd w:val="clear" w:color="auto" w:fill="auto"/>
            <w:noWrap/>
            <w:vAlign w:val="bottom"/>
            <w:hideMark/>
          </w:tcPr>
          <w:p w14:paraId="4539A90F" w14:textId="77777777" w:rsidR="00F75C39" w:rsidRPr="00CD71E6" w:rsidRDefault="00F75C39" w:rsidP="00F75C39">
            <w:pPr>
              <w:spacing w:after="0" w:line="240" w:lineRule="auto"/>
              <w:rPr>
                <w:rFonts w:eastAsia="Times New Roman"/>
                <w:color w:val="000000"/>
                <w:kern w:val="0"/>
                <w:szCs w:val="22"/>
                <w:lang w:val="fr-CA"/>
                <w14:ligatures w14:val="none"/>
              </w:rPr>
            </w:pPr>
          </w:p>
        </w:tc>
        <w:tc>
          <w:tcPr>
            <w:tcW w:w="1483" w:type="dxa"/>
            <w:tcBorders>
              <w:top w:val="nil"/>
              <w:left w:val="nil"/>
              <w:bottom w:val="nil"/>
              <w:right w:val="nil"/>
            </w:tcBorders>
            <w:shd w:val="clear" w:color="auto" w:fill="auto"/>
            <w:noWrap/>
            <w:vAlign w:val="bottom"/>
            <w:hideMark/>
          </w:tcPr>
          <w:p w14:paraId="50177D2A" w14:textId="77777777" w:rsidR="00F75C39" w:rsidRPr="00CD71E6" w:rsidRDefault="00F75C39" w:rsidP="00F75C39">
            <w:pPr>
              <w:spacing w:after="0" w:line="240" w:lineRule="auto"/>
              <w:rPr>
                <w:rFonts w:eastAsia="Times New Roman"/>
                <w:color w:val="000000"/>
                <w:kern w:val="0"/>
                <w:szCs w:val="22"/>
                <w:lang w:val="fr-CA"/>
                <w14:ligatures w14:val="none"/>
              </w:rPr>
            </w:pPr>
          </w:p>
        </w:tc>
        <w:tc>
          <w:tcPr>
            <w:tcW w:w="1392" w:type="dxa"/>
            <w:tcBorders>
              <w:top w:val="nil"/>
              <w:left w:val="nil"/>
              <w:bottom w:val="nil"/>
              <w:right w:val="nil"/>
            </w:tcBorders>
            <w:shd w:val="clear" w:color="auto" w:fill="auto"/>
            <w:noWrap/>
            <w:vAlign w:val="bottom"/>
            <w:hideMark/>
          </w:tcPr>
          <w:p w14:paraId="3029907F" w14:textId="77777777" w:rsidR="00F75C39" w:rsidRPr="00CD71E6" w:rsidRDefault="00F75C39" w:rsidP="00F75C39">
            <w:pPr>
              <w:spacing w:after="0" w:line="240" w:lineRule="auto"/>
              <w:rPr>
                <w:rFonts w:eastAsia="Times New Roman"/>
                <w:color w:val="000000"/>
                <w:kern w:val="0"/>
                <w:szCs w:val="22"/>
                <w:lang w:val="fr-CA"/>
                <w14:ligatures w14:val="none"/>
              </w:rPr>
            </w:pPr>
          </w:p>
        </w:tc>
        <w:tc>
          <w:tcPr>
            <w:tcW w:w="1231" w:type="dxa"/>
            <w:tcBorders>
              <w:top w:val="nil"/>
              <w:left w:val="nil"/>
              <w:bottom w:val="nil"/>
              <w:right w:val="nil"/>
            </w:tcBorders>
            <w:shd w:val="clear" w:color="auto" w:fill="auto"/>
            <w:noWrap/>
            <w:vAlign w:val="bottom"/>
            <w:hideMark/>
          </w:tcPr>
          <w:p w14:paraId="4599229E" w14:textId="77777777" w:rsidR="00F75C39" w:rsidRPr="00CD71E6" w:rsidRDefault="00F75C39" w:rsidP="00F75C39">
            <w:pPr>
              <w:spacing w:after="0" w:line="240" w:lineRule="auto"/>
              <w:rPr>
                <w:rFonts w:eastAsia="Times New Roman"/>
                <w:color w:val="000000"/>
                <w:kern w:val="0"/>
                <w:szCs w:val="22"/>
                <w:lang w:val="fr-CA"/>
                <w14:ligatures w14:val="none"/>
              </w:rPr>
            </w:pPr>
          </w:p>
        </w:tc>
        <w:tc>
          <w:tcPr>
            <w:tcW w:w="2844" w:type="dxa"/>
            <w:gridSpan w:val="2"/>
            <w:tcBorders>
              <w:top w:val="single" w:sz="8" w:space="0" w:color="auto"/>
              <w:left w:val="nil"/>
              <w:bottom w:val="nil"/>
              <w:right w:val="nil"/>
            </w:tcBorders>
            <w:shd w:val="clear" w:color="auto" w:fill="auto"/>
            <w:noWrap/>
            <w:vAlign w:val="bottom"/>
            <w:hideMark/>
          </w:tcPr>
          <w:p w14:paraId="1ED1D002" w14:textId="00139FFE" w:rsidR="00F75C39" w:rsidRPr="00CD71E6" w:rsidRDefault="00CC5712" w:rsidP="00F75C39">
            <w:pPr>
              <w:spacing w:after="0" w:line="240" w:lineRule="auto"/>
              <w:jc w:val="center"/>
              <w:rPr>
                <w:rFonts w:eastAsia="Times New Roman"/>
                <w:i/>
                <w:iCs/>
                <w:color w:val="000000"/>
                <w:kern w:val="0"/>
                <w:sz w:val="20"/>
                <w:lang w:val="fr-CA"/>
                <w14:ligatures w14:val="none"/>
              </w:rPr>
            </w:pPr>
            <w:r w:rsidRPr="00CD71E6">
              <w:rPr>
                <w:rFonts w:eastAsia="Times New Roman"/>
                <w:i/>
                <w:iCs/>
                <w:color w:val="000000"/>
                <w:kern w:val="0"/>
                <w:sz w:val="20"/>
                <w:lang w:val="fr-CA"/>
                <w14:ligatures w14:val="none"/>
              </w:rPr>
              <w:t xml:space="preserve"> Au 31 mars 2018</w:t>
            </w:r>
          </w:p>
        </w:tc>
      </w:tr>
    </w:tbl>
    <w:p w14:paraId="6B5BF628" w14:textId="6BFEC50B" w:rsidR="00F16206" w:rsidRPr="00CD71E6" w:rsidRDefault="00F75C39" w:rsidP="006626DA">
      <w:pPr>
        <w:rPr>
          <w:lang w:val="fr-CA"/>
        </w:rPr>
      </w:pPr>
      <w:r w:rsidRPr="00CD71E6">
        <w:rPr>
          <w:lang w:val="fr-CA"/>
        </w:rPr>
        <w:br/>
      </w:r>
      <w:bookmarkStart w:id="67" w:name="_Hlk512505409"/>
      <w:r w:rsidRPr="00CD71E6">
        <w:rPr>
          <w:lang w:val="fr-CA"/>
        </w:rPr>
        <w:t>Bien que cette exigence entraîne des défis de dotation considérables pour le Collège,</w:t>
      </w:r>
      <w:bookmarkEnd w:id="67"/>
      <w:r w:rsidRPr="00CD71E6">
        <w:rPr>
          <w:lang w:val="fr-CA"/>
        </w:rPr>
        <w:t xml:space="preserve"> elle représente aussi une occasion importante, puisque le Collège est particulièrement bien placé pour offrir des bourses d’études incitatives et servir d’intermédiaire pour l’accès à des programmes spécialisés afin de traiter des lacunes cernées dans le marché du travail concernant ces domaines. Par exemple, la section </w:t>
      </w:r>
      <w:r w:rsidR="00E23808" w:rsidRPr="00CD71E6">
        <w:rPr>
          <w:lang w:val="fr-CA"/>
        </w:rPr>
        <w:t>«</w:t>
      </w:r>
      <w:r w:rsidR="00E23808">
        <w:rPr>
          <w:lang w:val="fr-CA"/>
        </w:rPr>
        <w:t> </w:t>
      </w:r>
      <w:r w:rsidRPr="00CD71E6">
        <w:rPr>
          <w:lang w:val="fr-CA"/>
        </w:rPr>
        <w:t>Principles » de la politique B.16 du Collège de l’Arctique du Nunavut, Brokerage and Programs, énonce que le Collège de l’Arctique du Nunavut peut négocier un accord avec d’autres établissements postsecondaires pour « accéder à des établissements et à des organismes postsecondaires additionnels pouvant fournir des possibilités de perfectionnement accrues pour les étudiants et le personnel »; le Collège envisage donc de recourir à ces programmes pour que les Inuits ciblés puissent être admis dans les catégories professionnelles d’enseignants, de cadres intermédiaires et de cadres supérieurs.</w:t>
      </w:r>
    </w:p>
    <w:p w14:paraId="61CA4D48" w14:textId="6A838F66" w:rsidR="00E5791A" w:rsidRPr="00CD71E6" w:rsidRDefault="00A01CDF" w:rsidP="006626DA">
      <w:pPr>
        <w:rPr>
          <w:lang w:val="fr-CA"/>
        </w:rPr>
      </w:pPr>
      <w:r w:rsidRPr="00CD71E6">
        <w:rPr>
          <w:lang w:val="fr-CA"/>
        </w:rPr>
        <w:t xml:space="preserve">Pour répondre provisoirement à cette question, le Collège de l’Arctique du Nunavut s’efforcera d’accroître l’embauchage d’Inuits au Collège en continuant d’appliquer la politique de priorité d’embauche à tous les concours de recrutement. </w:t>
      </w:r>
    </w:p>
    <w:p w14:paraId="1962298A" w14:textId="77777777" w:rsidR="0004602E" w:rsidRPr="00CD71E6" w:rsidRDefault="0004602E" w:rsidP="00F75C39">
      <w:pPr>
        <w:pStyle w:val="Heading3"/>
        <w:contextualSpacing/>
        <w:jc w:val="both"/>
        <w:rPr>
          <w:rFonts w:cs="Arial"/>
          <w:lang w:val="fr-CA"/>
        </w:rPr>
      </w:pPr>
      <w:bookmarkStart w:id="68" w:name="_Toc505763754"/>
      <w:bookmarkStart w:id="69" w:name="_Toc41053718"/>
      <w:r w:rsidRPr="00CD71E6">
        <w:rPr>
          <w:rFonts w:cs="Arial"/>
          <w:bCs/>
          <w:lang w:val="fr-CA"/>
        </w:rPr>
        <w:t>Observation de la politique de priorité d’embauche</w:t>
      </w:r>
      <w:bookmarkEnd w:id="68"/>
      <w:bookmarkEnd w:id="69"/>
    </w:p>
    <w:p w14:paraId="65E05B5D" w14:textId="3A35A593" w:rsidR="0004602E" w:rsidRPr="00CD71E6" w:rsidRDefault="00A2364E" w:rsidP="006626DA">
      <w:pPr>
        <w:contextualSpacing/>
        <w:rPr>
          <w:szCs w:val="22"/>
          <w:lang w:val="fr-CA"/>
        </w:rPr>
      </w:pPr>
      <w:r w:rsidRPr="00CD71E6">
        <w:rPr>
          <w:szCs w:val="22"/>
          <w:lang w:val="fr-CA"/>
        </w:rPr>
        <w:t>Le CAN se conforme à la politique de priorité d’embauche du gouvernement du Nunavut au moment de recruter et de doter des postes au Nunavut. En utilisant la politique de priorité d’embauche, le CAN :</w:t>
      </w:r>
    </w:p>
    <w:p w14:paraId="6B1DDC85" w14:textId="4AB96F63" w:rsidR="0004602E" w:rsidRPr="00CD71E6" w:rsidRDefault="00A2364E" w:rsidP="0094062C">
      <w:pPr>
        <w:pStyle w:val="ListParagraph"/>
        <w:numPr>
          <w:ilvl w:val="0"/>
          <w:numId w:val="20"/>
        </w:numPr>
        <w:spacing w:after="120"/>
        <w:rPr>
          <w:color w:val="000000" w:themeColor="text1"/>
          <w:szCs w:val="22"/>
          <w:lang w:val="fr-CA"/>
        </w:rPr>
      </w:pPr>
      <w:r w:rsidRPr="00CD71E6">
        <w:rPr>
          <w:color w:val="000000" w:themeColor="text1"/>
          <w:szCs w:val="22"/>
          <w:lang w:val="fr-CA"/>
        </w:rPr>
        <w:t>énonce que la politique de priorité d’embauche sera appliquée à toutes les offres d’emploi;</w:t>
      </w:r>
    </w:p>
    <w:p w14:paraId="73A1BD12" w14:textId="46138985" w:rsidR="0004602E" w:rsidRPr="00CD71E6" w:rsidRDefault="00C1544B" w:rsidP="0094062C">
      <w:pPr>
        <w:pStyle w:val="ListParagraph"/>
        <w:numPr>
          <w:ilvl w:val="0"/>
          <w:numId w:val="20"/>
        </w:numPr>
        <w:spacing w:after="120"/>
        <w:rPr>
          <w:color w:val="000000" w:themeColor="text1"/>
          <w:szCs w:val="22"/>
          <w:lang w:val="fr-CA"/>
        </w:rPr>
      </w:pPr>
      <w:r w:rsidRPr="00CD71E6">
        <w:rPr>
          <w:color w:val="000000" w:themeColor="text1"/>
          <w:szCs w:val="22"/>
          <w:lang w:val="fr-CA"/>
        </w:rPr>
        <w:t>présélectionne les candidatures des concours de recrutement en fonction de la politique;</w:t>
      </w:r>
    </w:p>
    <w:p w14:paraId="1EDF44F7" w14:textId="0B2BE0CC" w:rsidR="0004602E" w:rsidRPr="00CD71E6" w:rsidRDefault="0004602E" w:rsidP="0094062C">
      <w:pPr>
        <w:pStyle w:val="ListParagraph"/>
        <w:numPr>
          <w:ilvl w:val="0"/>
          <w:numId w:val="20"/>
        </w:numPr>
        <w:spacing w:after="120"/>
        <w:rPr>
          <w:color w:val="000000" w:themeColor="text1"/>
          <w:szCs w:val="22"/>
          <w:lang w:val="fr-CA"/>
        </w:rPr>
      </w:pPr>
      <w:r w:rsidRPr="00CD71E6">
        <w:rPr>
          <w:color w:val="000000" w:themeColor="text1"/>
          <w:szCs w:val="22"/>
          <w:lang w:val="fr-CA"/>
        </w:rPr>
        <w:t xml:space="preserve">dote les postes au moyen de concours restreints; </w:t>
      </w:r>
    </w:p>
    <w:p w14:paraId="76658115" w14:textId="45A57DA5" w:rsidR="0004602E" w:rsidRPr="00CD71E6" w:rsidRDefault="0004602E" w:rsidP="0094062C">
      <w:pPr>
        <w:pStyle w:val="ListParagraph"/>
        <w:numPr>
          <w:ilvl w:val="0"/>
          <w:numId w:val="20"/>
        </w:numPr>
        <w:spacing w:after="120"/>
        <w:rPr>
          <w:color w:val="000000" w:themeColor="text1"/>
          <w:szCs w:val="22"/>
          <w:lang w:val="fr-CA"/>
        </w:rPr>
      </w:pPr>
      <w:r w:rsidRPr="00CD71E6">
        <w:rPr>
          <w:color w:val="000000" w:themeColor="text1"/>
          <w:szCs w:val="22"/>
          <w:lang w:val="fr-CA"/>
        </w:rPr>
        <w:t>embauche des employés nommés pour une période déterminée pour des postes à durée indéterminée lorsqu’aucun Inuit n’obtient ces postes;</w:t>
      </w:r>
    </w:p>
    <w:p w14:paraId="2F15FC2A" w14:textId="2C6A3702" w:rsidR="0004602E" w:rsidRPr="00CD71E6" w:rsidRDefault="00552421" w:rsidP="0094062C">
      <w:pPr>
        <w:pStyle w:val="ListParagraph"/>
        <w:numPr>
          <w:ilvl w:val="0"/>
          <w:numId w:val="20"/>
        </w:numPr>
        <w:spacing w:after="120"/>
        <w:rPr>
          <w:color w:val="000000" w:themeColor="text1"/>
          <w:szCs w:val="22"/>
          <w:lang w:val="fr-CA"/>
        </w:rPr>
      </w:pPr>
      <w:r w:rsidRPr="00CD71E6">
        <w:rPr>
          <w:color w:val="000000" w:themeColor="text1"/>
          <w:szCs w:val="22"/>
          <w:lang w:val="fr-CA"/>
        </w:rPr>
        <w:t>annule les concours lorsqu’aucun Inuit ne se qualifie, et explore différentes avenues pour attirer les candidatures d’Inuits qualifiés;</w:t>
      </w:r>
    </w:p>
    <w:p w14:paraId="7DA9F695" w14:textId="3D1A6AA3" w:rsidR="0004602E" w:rsidRPr="00CD71E6" w:rsidRDefault="0004602E" w:rsidP="0094062C">
      <w:pPr>
        <w:pStyle w:val="ListParagraph"/>
        <w:numPr>
          <w:ilvl w:val="0"/>
          <w:numId w:val="20"/>
        </w:numPr>
        <w:spacing w:after="120"/>
        <w:rPr>
          <w:color w:val="000000" w:themeColor="text1"/>
          <w:szCs w:val="22"/>
          <w:lang w:val="fr-CA"/>
        </w:rPr>
      </w:pPr>
      <w:r w:rsidRPr="00CD71E6">
        <w:rPr>
          <w:color w:val="000000" w:themeColor="text1"/>
          <w:szCs w:val="22"/>
          <w:lang w:val="fr-CA"/>
        </w:rPr>
        <w:lastRenderedPageBreak/>
        <w:t>applique la politique au moment d’embaucher des employés occasionnels et de fournir la formation et l’expérience nécessaire pour leur permettre d’être admissibles à des postes à temps plein.</w:t>
      </w:r>
    </w:p>
    <w:p w14:paraId="45D7A269" w14:textId="77777777" w:rsidR="004533A1" w:rsidRPr="00CD71E6" w:rsidRDefault="004533A1" w:rsidP="004533A1">
      <w:pPr>
        <w:pStyle w:val="Heading3"/>
        <w:rPr>
          <w:lang w:val="fr-CA"/>
        </w:rPr>
      </w:pPr>
      <w:bookmarkStart w:id="70" w:name="_Toc41053719"/>
      <w:r w:rsidRPr="00CD71E6">
        <w:rPr>
          <w:bCs/>
          <w:lang w:val="fr-CA"/>
        </w:rPr>
        <w:t>Politiques internes du Collège relatives au perfectionnement professionnel</w:t>
      </w:r>
      <w:bookmarkEnd w:id="70"/>
    </w:p>
    <w:p w14:paraId="7C7E62DE" w14:textId="08DBA3B0" w:rsidR="004533A1" w:rsidRPr="00CD71E6" w:rsidRDefault="004533A1" w:rsidP="004533A1">
      <w:pPr>
        <w:rPr>
          <w:lang w:val="fr-CA"/>
        </w:rPr>
      </w:pPr>
      <w:r w:rsidRPr="00CD71E6">
        <w:rPr>
          <w:lang w:val="fr-CA"/>
        </w:rPr>
        <w:t>En ce qui concerne le perfectionnement professionnel, le Collège de l’Arctique du Nunavut maintient deux politiques visant à soutenir et à favoriser le perfectionnement professionnel au sein du personnel du Collège :</w:t>
      </w:r>
    </w:p>
    <w:p w14:paraId="4BC3949A" w14:textId="77777777" w:rsidR="00B01B52" w:rsidRDefault="00B01B52" w:rsidP="004533A1">
      <w:pPr>
        <w:pStyle w:val="ListParagraph"/>
        <w:numPr>
          <w:ilvl w:val="0"/>
          <w:numId w:val="16"/>
        </w:numPr>
        <w:rPr>
          <w:lang w:val="fr-CA"/>
        </w:rPr>
      </w:pPr>
      <w:r w:rsidRPr="00B01B52">
        <w:rPr>
          <w:lang w:val="fr-CA"/>
        </w:rPr>
        <w:t>la politique B.16,</w:t>
      </w:r>
      <w:r>
        <w:rPr>
          <w:rFonts w:ascii="Arial" w:hAnsi="Arial" w:cs="Arial"/>
          <w:lang w:val="fr-CA"/>
        </w:rPr>
        <w:t xml:space="preserve"> « </w:t>
      </w:r>
      <w:r w:rsidRPr="00B01B52">
        <w:rPr>
          <w:lang w:val="fr-CA"/>
        </w:rPr>
        <w:t>Brokerage and Programs</w:t>
      </w:r>
      <w:r>
        <w:rPr>
          <w:rFonts w:ascii="Arial" w:hAnsi="Arial" w:cs="Arial"/>
          <w:lang w:val="fr-CA"/>
        </w:rPr>
        <w:t> »</w:t>
      </w:r>
      <w:r w:rsidRPr="00B01B52">
        <w:rPr>
          <w:lang w:val="fr-CA"/>
        </w:rPr>
        <w:t>, de la sec</w:t>
      </w:r>
      <w:r>
        <w:rPr>
          <w:lang w:val="fr-CA"/>
        </w:rPr>
        <w:t>tion Gouvernance et organisation</w:t>
      </w:r>
    </w:p>
    <w:p w14:paraId="0552EA4B" w14:textId="12F3D183" w:rsidR="00B01B52" w:rsidRPr="00B01B52" w:rsidRDefault="00B01B52" w:rsidP="004533A1">
      <w:pPr>
        <w:pStyle w:val="ListParagraph"/>
        <w:numPr>
          <w:ilvl w:val="0"/>
          <w:numId w:val="16"/>
        </w:numPr>
        <w:rPr>
          <w:lang w:val="fr-CA"/>
        </w:rPr>
      </w:pPr>
      <w:r w:rsidRPr="00B01B52">
        <w:rPr>
          <w:lang w:val="fr-CA"/>
        </w:rPr>
        <w:t>la politique C.13,</w:t>
      </w:r>
      <w:r>
        <w:rPr>
          <w:rFonts w:ascii="Arial" w:hAnsi="Arial" w:cs="Arial"/>
          <w:lang w:val="fr-CA"/>
        </w:rPr>
        <w:t xml:space="preserve"> « </w:t>
      </w:r>
      <w:r w:rsidRPr="00B01B52">
        <w:rPr>
          <w:lang w:val="fr-CA"/>
        </w:rPr>
        <w:t>Staff Tuition Fees</w:t>
      </w:r>
      <w:r>
        <w:rPr>
          <w:lang w:val="fr-CA"/>
        </w:rPr>
        <w:t> »</w:t>
      </w:r>
      <w:r w:rsidRPr="00B01B52">
        <w:rPr>
          <w:lang w:val="fr-CA"/>
        </w:rPr>
        <w:t>, de la section Affaires scolaires.</w:t>
      </w:r>
    </w:p>
    <w:p w14:paraId="67AE57E8" w14:textId="58F30561" w:rsidR="004533A1" w:rsidRPr="00CD71E6" w:rsidRDefault="004533A1" w:rsidP="004533A1">
      <w:pPr>
        <w:rPr>
          <w:lang w:val="fr-CA"/>
        </w:rPr>
      </w:pPr>
      <w:r w:rsidRPr="00CD71E6">
        <w:rPr>
          <w:lang w:val="fr-CA"/>
        </w:rPr>
        <w:t>Bien que ces politiques n’aient pas été utilisées par le passé pour expressément améliorer l’embauchage des Inuits au Collège, elles offrent une excellente base sur laquelle le Collège peut se fonder pour accomplir ce mandat. Le Collège examinera ces politiques au cours de l’exercice financier 2018-2019 pour assurer leur efficacité et le plan de communication définitif comprendra une section consacrée au ciblage des employés inuits admissibles, les informant des possibilités de perfectionnement offertes au niveau collégial.</w:t>
      </w:r>
    </w:p>
    <w:p w14:paraId="175344E1" w14:textId="77777777" w:rsidR="004533A1" w:rsidRPr="00CD71E6" w:rsidRDefault="004533A1" w:rsidP="004533A1">
      <w:pPr>
        <w:pStyle w:val="Heading3"/>
        <w:rPr>
          <w:lang w:val="fr-CA"/>
        </w:rPr>
      </w:pPr>
      <w:bookmarkStart w:id="71" w:name="_Toc41053720"/>
      <w:r w:rsidRPr="00CD71E6">
        <w:rPr>
          <w:bCs/>
          <w:lang w:val="fr-CA"/>
        </w:rPr>
        <w:t>Accès aux programmes et aux ressources externes pour l’embauchage des Inuits</w:t>
      </w:r>
      <w:bookmarkEnd w:id="71"/>
    </w:p>
    <w:p w14:paraId="70863431" w14:textId="178BCD72" w:rsidR="004533A1" w:rsidRPr="00CD71E6" w:rsidRDefault="004533A1" w:rsidP="004533A1">
      <w:pPr>
        <w:rPr>
          <w:lang w:val="fr-CA"/>
        </w:rPr>
      </w:pPr>
      <w:r w:rsidRPr="00CD71E6">
        <w:rPr>
          <w:lang w:val="fr-CA"/>
        </w:rPr>
        <w:t>Dans le passé, le Collège de l’Arctique du Nunavut a accédé aux programmes et aux ressources du gouvernement du Nunavut afin d’accroître la représentation des Inuits au sein du personnel du Collège. Il a notamment utilisé du financement du ministère de l’Exécutif et des Affaires intergouvernementales et du ministère des Ressources humaines pour les frais de stagiaires dans des postes établis du Collège dans le but d’accroître l’embauchage des Inuits dans les catégories d’emploi des professionnels et des cadres intermédiaires. Jusqu’à maintenant, les montants auxquels le Collège a accédé afin de soutenir les Inuits ont été peu élevés; toutefois, le Collège de l’Arctique du Nunavut s’efforcera d’accroître son utilisation des ressources externes du gouvernement du Nunavut aux fins de l’embauchage des Inuits.</w:t>
      </w:r>
    </w:p>
    <w:p w14:paraId="4FB88574" w14:textId="4CAE90B9" w:rsidR="00B70D26" w:rsidRPr="00CD71E6" w:rsidRDefault="00F16206" w:rsidP="00B70D26">
      <w:pPr>
        <w:pStyle w:val="Heading3"/>
        <w:rPr>
          <w:lang w:val="fr-CA"/>
        </w:rPr>
      </w:pPr>
      <w:bookmarkStart w:id="72" w:name="_Toc41053721"/>
      <w:r w:rsidRPr="00CD71E6">
        <w:rPr>
          <w:bCs/>
          <w:lang w:val="fr-CA"/>
        </w:rPr>
        <w:t>Obstacles artificiels à l’embauchage des Inuits propres au Collège de l’Arctique du Nunavut</w:t>
      </w:r>
      <w:bookmarkEnd w:id="72"/>
    </w:p>
    <w:p w14:paraId="74E48CAD" w14:textId="0C26F17A" w:rsidR="00F94366" w:rsidRPr="00CD71E6" w:rsidRDefault="002D7653" w:rsidP="006626DA">
      <w:pPr>
        <w:rPr>
          <w:lang w:val="fr-CA"/>
        </w:rPr>
      </w:pPr>
      <w:r w:rsidRPr="00CD71E6">
        <w:rPr>
          <w:lang w:val="fr-CA"/>
        </w:rPr>
        <w:t>Le Collège de l’Arctique du Nunavut estime que tous les obstacles à l’embauchage des Inuits devraient être examinés et, lorsque c’est possible, devraient être éliminés ou du moins atténués. Les obstacles potentiels comme des barrières sociales ou économiques importantes sont des réalités qu’il faut reconnaître, bien que cela ne fasse pas partie de la portée du présent document et que leur résolution ne relève pas du Collège. Cependant, le Collège continuera à renforcer la position du GN concernant ces questions en jouant un rôle intégral dans leur résolution à titre d’unique fournisseur d’enseignement postsecondaire au Nunavut.</w:t>
      </w:r>
    </w:p>
    <w:p w14:paraId="58506BB7" w14:textId="77777777" w:rsidR="00356916" w:rsidRDefault="00356916">
      <w:pPr>
        <w:spacing w:after="200" w:line="276" w:lineRule="auto"/>
        <w:rPr>
          <w:szCs w:val="22"/>
          <w:lang w:val="fr-CA"/>
        </w:rPr>
      </w:pPr>
      <w:r>
        <w:rPr>
          <w:szCs w:val="22"/>
          <w:lang w:val="fr-CA"/>
        </w:rPr>
        <w:br w:type="page"/>
      </w:r>
    </w:p>
    <w:p w14:paraId="7EF5CB5F" w14:textId="54E10A2E" w:rsidR="00823190" w:rsidRPr="00CD71E6" w:rsidRDefault="00823190" w:rsidP="006626DA">
      <w:pPr>
        <w:rPr>
          <w:szCs w:val="22"/>
          <w:lang w:val="fr-CA"/>
        </w:rPr>
      </w:pPr>
      <w:r w:rsidRPr="00CD71E6">
        <w:rPr>
          <w:szCs w:val="22"/>
          <w:lang w:val="fr-CA"/>
        </w:rPr>
        <w:lastRenderedPageBreak/>
        <w:t>Les obstacles potentiels qui nuisent aux progrès peuvent être transactionnels, comme ceux que l’on retrouve dans le cadre des processus de dotation, ou peuvent être environnementaux, comme les emplacements potentiels où la culture inuite n’est pas encouragée et incorporée. Parmi les exemples d’obstacles potentiels pouvant exister et que le Collège de l’Arctique du Nunavut cherchera à éliminer, notons :</w:t>
      </w:r>
    </w:p>
    <w:p w14:paraId="3134124B" w14:textId="4010590C" w:rsidR="002D7653" w:rsidRPr="00CD71E6" w:rsidRDefault="002D7653" w:rsidP="0094062C">
      <w:pPr>
        <w:pStyle w:val="ListParagraph"/>
        <w:numPr>
          <w:ilvl w:val="0"/>
          <w:numId w:val="9"/>
        </w:numPr>
        <w:rPr>
          <w:lang w:val="fr-CA"/>
        </w:rPr>
      </w:pPr>
      <w:r w:rsidRPr="00CD71E6">
        <w:rPr>
          <w:lang w:val="fr-CA"/>
        </w:rPr>
        <w:t>Le Collège n’a actuellement pas de cible de recrutement d’employés potentiels, particulièrement en ce qui concerne le ciblage d’anciens étudiants prometteurs pour qu’ils envisagent le Collège comme un employeur de choix.</w:t>
      </w:r>
    </w:p>
    <w:p w14:paraId="3687E589" w14:textId="7573F920" w:rsidR="005B49E0" w:rsidRPr="00CD71E6" w:rsidRDefault="005B49E0" w:rsidP="0094062C">
      <w:pPr>
        <w:pStyle w:val="ListParagraph"/>
        <w:numPr>
          <w:ilvl w:val="0"/>
          <w:numId w:val="9"/>
        </w:numPr>
        <w:rPr>
          <w:lang w:val="fr-CA"/>
        </w:rPr>
      </w:pPr>
      <w:r w:rsidRPr="00CD71E6">
        <w:rPr>
          <w:lang w:val="fr-CA"/>
        </w:rPr>
        <w:t xml:space="preserve">L’absence de stages dans des programmes coopératifs ou d’apprentissage, bien que cela soit atténué par le nouveau programme d’enrichissement professionnel offert par le ministère des Ressources humaines. Le Collège encouragera le personnel à examiner ces possibilités. </w:t>
      </w:r>
    </w:p>
    <w:p w14:paraId="167D9383" w14:textId="000CF7EF" w:rsidR="005B49E0" w:rsidRPr="00CD71E6" w:rsidRDefault="002D7653" w:rsidP="0094062C">
      <w:pPr>
        <w:pStyle w:val="ListParagraph"/>
        <w:numPr>
          <w:ilvl w:val="0"/>
          <w:numId w:val="9"/>
        </w:numPr>
        <w:rPr>
          <w:lang w:val="fr-CA"/>
        </w:rPr>
      </w:pPr>
      <w:r w:rsidRPr="00CD71E6">
        <w:rPr>
          <w:lang w:val="fr-CA"/>
        </w:rPr>
        <w:t>La culture du lieu de travail peut avoir une incidence importante sur le roulement de personnel.</w:t>
      </w:r>
    </w:p>
    <w:p w14:paraId="2F52BB15" w14:textId="2535B371" w:rsidR="008269F8" w:rsidRPr="00CD71E6" w:rsidRDefault="002D7653" w:rsidP="0094062C">
      <w:pPr>
        <w:pStyle w:val="ListParagraph"/>
        <w:numPr>
          <w:ilvl w:val="0"/>
          <w:numId w:val="9"/>
        </w:numPr>
        <w:rPr>
          <w:lang w:val="fr-CA"/>
        </w:rPr>
      </w:pPr>
      <w:r w:rsidRPr="00CD71E6">
        <w:rPr>
          <w:lang w:val="fr-CA"/>
        </w:rPr>
        <w:t>Le Collège est doté de politiques pour le perfectionnement professionnel scolaire, mais ces politiques ne sont pas expressément utilisées pour cibler l’embauchage des Inuits.</w:t>
      </w:r>
    </w:p>
    <w:p w14:paraId="0E1A624F" w14:textId="7022097C" w:rsidR="00E057EB" w:rsidRPr="00CD71E6" w:rsidRDefault="002D7653" w:rsidP="0094062C">
      <w:pPr>
        <w:pStyle w:val="ListParagraph"/>
        <w:numPr>
          <w:ilvl w:val="0"/>
          <w:numId w:val="9"/>
        </w:numPr>
        <w:rPr>
          <w:lang w:val="fr-CA"/>
        </w:rPr>
      </w:pPr>
      <w:r w:rsidRPr="00CD71E6">
        <w:rPr>
          <w:lang w:val="fr-CA"/>
        </w:rPr>
        <w:t>Plusieurs postes du Collège nécessitent des experts spécialisés qui ne sont actuellement pas soutenus par le marché du travail.</w:t>
      </w:r>
    </w:p>
    <w:p w14:paraId="074E5E1D" w14:textId="77777777" w:rsidR="00B70D26" w:rsidRPr="00CD71E6" w:rsidRDefault="00B70D26" w:rsidP="00664947">
      <w:pPr>
        <w:pStyle w:val="Heading2"/>
        <w:keepNext/>
        <w:rPr>
          <w:lang w:val="fr-CA"/>
        </w:rPr>
      </w:pPr>
      <w:bookmarkStart w:id="73" w:name="_Toc41053722"/>
      <w:r w:rsidRPr="00CD71E6">
        <w:rPr>
          <w:bCs/>
          <w:lang w:val="fr-CA"/>
        </w:rPr>
        <w:t>Problématiques et possibilités éventuelles</w:t>
      </w:r>
      <w:bookmarkEnd w:id="73"/>
    </w:p>
    <w:p w14:paraId="3C3352E3" w14:textId="6D74784A" w:rsidR="00957035" w:rsidRPr="00CD71E6" w:rsidRDefault="00ED25AB" w:rsidP="000774CE">
      <w:pPr>
        <w:pStyle w:val="Heading3"/>
        <w:keepNext/>
        <w:spacing w:after="0"/>
        <w:rPr>
          <w:lang w:val="fr-CA"/>
        </w:rPr>
      </w:pPr>
      <w:bookmarkStart w:id="74" w:name="_Toc41053723"/>
      <w:r w:rsidRPr="00CD71E6">
        <w:rPr>
          <w:bCs/>
          <w:lang w:val="fr-CA"/>
        </w:rPr>
        <w:t>Roulement de personnel attribuable aux départs à la retraite potentiels</w:t>
      </w:r>
      <w:bookmarkEnd w:id="74"/>
      <w:r w:rsidRPr="00CD71E6">
        <w:rPr>
          <w:bCs/>
          <w:lang w:val="fr-CA"/>
        </w:rPr>
        <w:t xml:space="preserve"> </w:t>
      </w:r>
    </w:p>
    <w:p w14:paraId="6BE7D81A" w14:textId="77777777" w:rsidR="00D87C4C" w:rsidRPr="00CD71E6" w:rsidRDefault="00E711A6" w:rsidP="006626DA">
      <w:pPr>
        <w:rPr>
          <w:lang w:val="fr-CA"/>
        </w:rPr>
      </w:pPr>
      <w:bookmarkStart w:id="75" w:name="_Toc512329110"/>
      <w:r w:rsidRPr="00CD71E6">
        <w:rPr>
          <w:lang w:val="fr-CA"/>
        </w:rPr>
        <w:t xml:space="preserve">Un enjeu critique du CAN a été relevé dans le cadre d’une analyse de la main-d’œuvre du GN : les départs à la retraite potentiels au Collège semblent être supérieurs que dans le gouvernement du Nunavut dans son ensemble. </w:t>
      </w:r>
    </w:p>
    <w:p w14:paraId="6F9E0866" w14:textId="0B7D9763" w:rsidR="006057F8" w:rsidRPr="00CD71E6" w:rsidRDefault="00787A08" w:rsidP="006626DA">
      <w:pPr>
        <w:rPr>
          <w:lang w:val="fr-CA"/>
        </w:rPr>
      </w:pPr>
      <w:r w:rsidRPr="00CD71E6">
        <w:rPr>
          <w:lang w:val="fr-CA"/>
        </w:rPr>
        <w:t>Ci-dessous se trouve une analyse catégorique des catégories des professionnels, des paraprofessionnels et du soutien administratif.</w:t>
      </w:r>
      <w:bookmarkEnd w:id="75"/>
      <w:r w:rsidRPr="00CD71E6">
        <w:rPr>
          <w:lang w:val="fr-CA"/>
        </w:rPr>
        <w:t xml:space="preserve"> L’analyse représente la situation au 31 mars 2018 et a utilisé les données de Vers une fonction publique représentative pour assurer l’uniformité des données présentées dans le présent plan. L’analyse a été utilisée pour estimer les taux de départ attribuables aux départ</w:t>
      </w:r>
      <w:r w:rsidR="00DE5535">
        <w:rPr>
          <w:lang w:val="fr-CA"/>
        </w:rPr>
        <w:t>s</w:t>
      </w:r>
      <w:r w:rsidR="00DE5535" w:rsidRPr="00CD71E6">
        <w:rPr>
          <w:lang w:val="fr-CA"/>
        </w:rPr>
        <w:t xml:space="preserve"> potentiels </w:t>
      </w:r>
      <w:r w:rsidRPr="00CD71E6">
        <w:rPr>
          <w:lang w:val="fr-CA"/>
        </w:rPr>
        <w:t>à la retraite et a servi de base à la planification stratégique du Collège relativement aux futures possibilités d’expansion de l’embauchage des Inuits.</w:t>
      </w:r>
    </w:p>
    <w:p w14:paraId="3E34714A" w14:textId="25200410" w:rsidR="00DE5535" w:rsidRDefault="00874F90" w:rsidP="00186EC9">
      <w:pPr>
        <w:rPr>
          <w:lang w:val="fr-CA"/>
        </w:rPr>
      </w:pPr>
      <w:r w:rsidRPr="00CD71E6">
        <w:rPr>
          <w:lang w:val="fr-CA"/>
        </w:rPr>
        <w:t xml:space="preserve">Dans la </w:t>
      </w:r>
      <w:r w:rsidRPr="00CD71E6">
        <w:rPr>
          <w:b/>
          <w:bCs/>
          <w:lang w:val="fr-CA"/>
        </w:rPr>
        <w:t>catégorie des professionnels</w:t>
      </w:r>
      <w:r w:rsidRPr="00CD71E6">
        <w:rPr>
          <w:lang w:val="fr-CA"/>
        </w:rPr>
        <w:t>, les âges sont assez uniformément répartis parmi les cinq tranches d’âge, à l’exception de la tranche des 20 à 29 ans, qui est considérablement sous-représentée dans cette catégorie. Cette sous-représentation s’explique en grande partie en raison du fait que la catégorie des professionnels contient principalement des enseignants collégiaux et en raison de l’exigence relative aux compétences supérieures indiquées précédemment.</w:t>
      </w:r>
    </w:p>
    <w:p w14:paraId="5848A377" w14:textId="77777777" w:rsidR="00DE5535" w:rsidRDefault="00DE5535">
      <w:pPr>
        <w:spacing w:after="200" w:line="276" w:lineRule="auto"/>
        <w:rPr>
          <w:lang w:val="fr-CA"/>
        </w:rPr>
      </w:pPr>
      <w:r>
        <w:rPr>
          <w:lang w:val="fr-CA"/>
        </w:rPr>
        <w:br w:type="page"/>
      </w:r>
    </w:p>
    <w:tbl>
      <w:tblPr>
        <w:tblW w:w="8532" w:type="dxa"/>
        <w:tblInd w:w="93" w:type="dxa"/>
        <w:tblLook w:val="04A0" w:firstRow="1" w:lastRow="0" w:firstColumn="1" w:lastColumn="0" w:noHBand="0" w:noVBand="1"/>
      </w:tblPr>
      <w:tblGrid>
        <w:gridCol w:w="1760"/>
        <w:gridCol w:w="1760"/>
        <w:gridCol w:w="1660"/>
        <w:gridCol w:w="1692"/>
        <w:gridCol w:w="1660"/>
      </w:tblGrid>
      <w:tr w:rsidR="00874F90" w:rsidRPr="00CD71E6" w14:paraId="391644F5" w14:textId="77777777" w:rsidTr="00DE5535">
        <w:trPr>
          <w:trHeight w:val="345"/>
        </w:trPr>
        <w:tc>
          <w:tcPr>
            <w:tcW w:w="1760" w:type="dxa"/>
            <w:tcBorders>
              <w:top w:val="nil"/>
              <w:left w:val="nil"/>
              <w:bottom w:val="nil"/>
              <w:right w:val="nil"/>
            </w:tcBorders>
            <w:shd w:val="clear" w:color="auto" w:fill="auto"/>
            <w:noWrap/>
            <w:vAlign w:val="bottom"/>
            <w:hideMark/>
          </w:tcPr>
          <w:p w14:paraId="02538C8E" w14:textId="77777777" w:rsidR="00874F90" w:rsidRPr="00CD71E6" w:rsidRDefault="00874F90" w:rsidP="00874F90">
            <w:pPr>
              <w:spacing w:after="0" w:line="240" w:lineRule="auto"/>
              <w:rPr>
                <w:rFonts w:eastAsia="Times New Roman"/>
                <w:color w:val="000000"/>
                <w:kern w:val="0"/>
                <w:szCs w:val="22"/>
                <w:lang w:val="fr-CA"/>
                <w14:ligatures w14:val="none"/>
              </w:rPr>
            </w:pPr>
          </w:p>
        </w:tc>
        <w:tc>
          <w:tcPr>
            <w:tcW w:w="1760" w:type="dxa"/>
            <w:tcBorders>
              <w:top w:val="nil"/>
              <w:left w:val="nil"/>
              <w:bottom w:val="nil"/>
              <w:right w:val="nil"/>
            </w:tcBorders>
            <w:shd w:val="clear" w:color="auto" w:fill="auto"/>
            <w:noWrap/>
            <w:vAlign w:val="bottom"/>
            <w:hideMark/>
          </w:tcPr>
          <w:p w14:paraId="5A43DA22" w14:textId="77777777" w:rsidR="00874F90" w:rsidRPr="00CD71E6" w:rsidRDefault="00874F90" w:rsidP="00874F90">
            <w:pPr>
              <w:spacing w:after="0" w:line="240" w:lineRule="auto"/>
              <w:rPr>
                <w:rFonts w:ascii="Tw Cen MT" w:eastAsia="Times New Roman" w:hAnsi="Tw Cen MT"/>
                <w:color w:val="000000"/>
                <w:kern w:val="0"/>
                <w:sz w:val="23"/>
                <w:szCs w:val="23"/>
                <w:lang w:val="fr-CA"/>
                <w14:ligatures w14:val="none"/>
              </w:rPr>
            </w:pPr>
          </w:p>
        </w:tc>
        <w:tc>
          <w:tcPr>
            <w:tcW w:w="5012" w:type="dxa"/>
            <w:gridSpan w:val="3"/>
            <w:tcBorders>
              <w:top w:val="nil"/>
              <w:left w:val="nil"/>
              <w:bottom w:val="nil"/>
              <w:right w:val="nil"/>
            </w:tcBorders>
            <w:shd w:val="clear" w:color="000000" w:fill="000000"/>
            <w:noWrap/>
            <w:vAlign w:val="center"/>
            <w:hideMark/>
          </w:tcPr>
          <w:p w14:paraId="78142D2E" w14:textId="77777777" w:rsidR="00874F90" w:rsidRPr="00CD71E6" w:rsidRDefault="00874F90" w:rsidP="00874F90">
            <w:pPr>
              <w:spacing w:after="0" w:line="240" w:lineRule="auto"/>
              <w:jc w:val="center"/>
              <w:rPr>
                <w:rFonts w:eastAsia="Times New Roman"/>
                <w:b/>
                <w:bCs/>
                <w:color w:val="FFFFFF"/>
                <w:kern w:val="0"/>
                <w:sz w:val="26"/>
                <w:szCs w:val="26"/>
                <w:lang w:val="fr-CA"/>
                <w14:ligatures w14:val="none"/>
              </w:rPr>
            </w:pPr>
            <w:r w:rsidRPr="00CD71E6">
              <w:rPr>
                <w:rFonts w:eastAsia="Times New Roman"/>
                <w:b/>
                <w:bCs/>
                <w:color w:val="FFFFFF"/>
                <w:kern w:val="0"/>
                <w:sz w:val="26"/>
                <w:szCs w:val="26"/>
                <w:lang w:val="fr-CA"/>
                <w14:ligatures w14:val="none"/>
              </w:rPr>
              <w:t>Catégorie des professionnels</w:t>
            </w:r>
          </w:p>
        </w:tc>
      </w:tr>
      <w:tr w:rsidR="00874F90" w:rsidRPr="00CD71E6" w14:paraId="6DE40585" w14:textId="77777777" w:rsidTr="00DE5535">
        <w:trPr>
          <w:trHeight w:val="300"/>
        </w:trPr>
        <w:tc>
          <w:tcPr>
            <w:tcW w:w="1760" w:type="dxa"/>
            <w:tcBorders>
              <w:top w:val="nil"/>
              <w:left w:val="nil"/>
              <w:bottom w:val="nil"/>
              <w:right w:val="nil"/>
            </w:tcBorders>
            <w:shd w:val="clear" w:color="auto" w:fill="auto"/>
            <w:noWrap/>
            <w:vAlign w:val="bottom"/>
            <w:hideMark/>
          </w:tcPr>
          <w:p w14:paraId="26603F9A" w14:textId="77777777" w:rsidR="00874F90" w:rsidRPr="00CD71E6" w:rsidRDefault="00874F90" w:rsidP="00874F90">
            <w:pPr>
              <w:spacing w:after="0" w:line="240" w:lineRule="auto"/>
              <w:rPr>
                <w:rFonts w:eastAsia="Times New Roman"/>
                <w:color w:val="000000"/>
                <w:kern w:val="0"/>
                <w:szCs w:val="22"/>
                <w:lang w:val="fr-CA"/>
                <w14:ligatures w14:val="none"/>
              </w:rPr>
            </w:pPr>
          </w:p>
        </w:tc>
        <w:tc>
          <w:tcPr>
            <w:tcW w:w="1760" w:type="dxa"/>
            <w:tcBorders>
              <w:top w:val="nil"/>
              <w:left w:val="nil"/>
              <w:bottom w:val="nil"/>
              <w:right w:val="nil"/>
            </w:tcBorders>
            <w:shd w:val="clear" w:color="auto" w:fill="auto"/>
            <w:noWrap/>
            <w:vAlign w:val="bottom"/>
            <w:hideMark/>
          </w:tcPr>
          <w:p w14:paraId="5574AD31" w14:textId="77777777" w:rsidR="00874F90" w:rsidRPr="00CD71E6" w:rsidRDefault="00874F90" w:rsidP="00874F90">
            <w:pPr>
              <w:spacing w:after="0" w:line="240" w:lineRule="auto"/>
              <w:rPr>
                <w:rFonts w:ascii="Tw Cen MT" w:eastAsia="Times New Roman" w:hAnsi="Tw Cen MT"/>
                <w:color w:val="000000"/>
                <w:kern w:val="0"/>
                <w:sz w:val="23"/>
                <w:szCs w:val="23"/>
                <w:lang w:val="fr-CA"/>
                <w14:ligatures w14:val="none"/>
              </w:rPr>
            </w:pPr>
          </w:p>
        </w:tc>
        <w:tc>
          <w:tcPr>
            <w:tcW w:w="1660" w:type="dxa"/>
            <w:vMerge w:val="restart"/>
            <w:tcBorders>
              <w:top w:val="nil"/>
              <w:left w:val="nil"/>
              <w:bottom w:val="nil"/>
              <w:right w:val="nil"/>
            </w:tcBorders>
            <w:shd w:val="clear" w:color="000000" w:fill="000000"/>
            <w:vAlign w:val="center"/>
            <w:hideMark/>
          </w:tcPr>
          <w:p w14:paraId="78251E1E" w14:textId="77777777" w:rsidR="00874F90" w:rsidRPr="00CD71E6" w:rsidRDefault="00874F90" w:rsidP="00874F90">
            <w:pPr>
              <w:spacing w:after="0" w:line="240" w:lineRule="auto"/>
              <w:jc w:val="center"/>
              <w:rPr>
                <w:rFonts w:eastAsia="Times New Roman"/>
                <w:color w:val="FFFFFF"/>
                <w:kern w:val="0"/>
                <w:szCs w:val="22"/>
                <w:lang w:val="fr-CA"/>
                <w14:ligatures w14:val="none"/>
              </w:rPr>
            </w:pPr>
            <w:r w:rsidRPr="00CD71E6">
              <w:rPr>
                <w:rFonts w:eastAsia="Times New Roman"/>
                <w:color w:val="FFFFFF"/>
                <w:kern w:val="0"/>
                <w:szCs w:val="22"/>
                <w:lang w:val="fr-CA"/>
                <w14:ligatures w14:val="none"/>
              </w:rPr>
              <w:t>Total des postes (ETP)</w:t>
            </w:r>
          </w:p>
        </w:tc>
        <w:tc>
          <w:tcPr>
            <w:tcW w:w="1692" w:type="dxa"/>
            <w:vMerge w:val="restart"/>
            <w:tcBorders>
              <w:top w:val="nil"/>
              <w:left w:val="nil"/>
              <w:bottom w:val="nil"/>
              <w:right w:val="nil"/>
            </w:tcBorders>
            <w:shd w:val="clear" w:color="000000" w:fill="000000"/>
            <w:vAlign w:val="center"/>
            <w:hideMark/>
          </w:tcPr>
          <w:p w14:paraId="430165A0" w14:textId="2320D2C9" w:rsidR="00874F90" w:rsidRPr="00CD71E6" w:rsidRDefault="00874F90" w:rsidP="00874F90">
            <w:pPr>
              <w:spacing w:after="0" w:line="240" w:lineRule="auto"/>
              <w:jc w:val="center"/>
              <w:rPr>
                <w:rFonts w:eastAsia="Times New Roman"/>
                <w:color w:val="FFFFFF"/>
                <w:kern w:val="0"/>
                <w:szCs w:val="22"/>
                <w:lang w:val="fr-CA"/>
                <w14:ligatures w14:val="none"/>
              </w:rPr>
            </w:pPr>
            <w:r w:rsidRPr="00CD71E6">
              <w:rPr>
                <w:rFonts w:eastAsia="Times New Roman"/>
                <w:color w:val="FFFFFF"/>
                <w:kern w:val="0"/>
                <w:szCs w:val="22"/>
                <w:lang w:val="fr-CA"/>
                <w14:ligatures w14:val="none"/>
              </w:rPr>
              <w:t>Nombre total de postes (dénombrement des effectifs)</w:t>
            </w:r>
          </w:p>
        </w:tc>
        <w:tc>
          <w:tcPr>
            <w:tcW w:w="1660" w:type="dxa"/>
            <w:vMerge w:val="restart"/>
            <w:tcBorders>
              <w:top w:val="nil"/>
              <w:left w:val="nil"/>
              <w:bottom w:val="nil"/>
              <w:right w:val="nil"/>
            </w:tcBorders>
            <w:shd w:val="clear" w:color="000000" w:fill="000000"/>
            <w:vAlign w:val="center"/>
            <w:hideMark/>
          </w:tcPr>
          <w:p w14:paraId="27A48737" w14:textId="77777777" w:rsidR="00874F90" w:rsidRPr="00CD71E6" w:rsidRDefault="00874F90" w:rsidP="00874F90">
            <w:pPr>
              <w:spacing w:after="0" w:line="240" w:lineRule="auto"/>
              <w:jc w:val="center"/>
              <w:rPr>
                <w:rFonts w:eastAsia="Times New Roman"/>
                <w:color w:val="FFFFFF"/>
                <w:kern w:val="0"/>
                <w:szCs w:val="22"/>
                <w:lang w:val="fr-CA"/>
                <w14:ligatures w14:val="none"/>
              </w:rPr>
            </w:pPr>
            <w:r w:rsidRPr="00CD71E6">
              <w:rPr>
                <w:rFonts w:eastAsia="Times New Roman"/>
                <w:color w:val="FFFFFF"/>
                <w:kern w:val="0"/>
                <w:szCs w:val="22"/>
                <w:lang w:val="fr-CA"/>
                <w14:ligatures w14:val="none"/>
              </w:rPr>
              <w:t>% de la catégorie</w:t>
            </w:r>
          </w:p>
        </w:tc>
      </w:tr>
      <w:tr w:rsidR="00874F90" w:rsidRPr="00CD71E6" w14:paraId="3C6E69BB" w14:textId="77777777" w:rsidTr="00DE5535">
        <w:trPr>
          <w:trHeight w:val="300"/>
        </w:trPr>
        <w:tc>
          <w:tcPr>
            <w:tcW w:w="1760" w:type="dxa"/>
            <w:tcBorders>
              <w:top w:val="nil"/>
              <w:left w:val="nil"/>
              <w:bottom w:val="nil"/>
              <w:right w:val="nil"/>
            </w:tcBorders>
            <w:shd w:val="clear" w:color="auto" w:fill="auto"/>
            <w:noWrap/>
            <w:vAlign w:val="bottom"/>
            <w:hideMark/>
          </w:tcPr>
          <w:p w14:paraId="5FB4B687" w14:textId="77777777" w:rsidR="00874F90" w:rsidRPr="00CD71E6" w:rsidRDefault="00874F90" w:rsidP="00874F90">
            <w:pPr>
              <w:spacing w:after="0" w:line="240" w:lineRule="auto"/>
              <w:rPr>
                <w:rFonts w:eastAsia="Times New Roman"/>
                <w:color w:val="000000"/>
                <w:kern w:val="0"/>
                <w:szCs w:val="22"/>
                <w:lang w:val="fr-CA"/>
                <w14:ligatures w14:val="none"/>
              </w:rPr>
            </w:pPr>
          </w:p>
        </w:tc>
        <w:tc>
          <w:tcPr>
            <w:tcW w:w="1760" w:type="dxa"/>
            <w:tcBorders>
              <w:top w:val="nil"/>
              <w:left w:val="nil"/>
              <w:bottom w:val="nil"/>
              <w:right w:val="nil"/>
            </w:tcBorders>
            <w:shd w:val="clear" w:color="auto" w:fill="auto"/>
            <w:noWrap/>
            <w:vAlign w:val="bottom"/>
            <w:hideMark/>
          </w:tcPr>
          <w:p w14:paraId="32CB3295" w14:textId="77777777" w:rsidR="00874F90" w:rsidRPr="00CD71E6" w:rsidRDefault="00874F90" w:rsidP="00874F90">
            <w:pPr>
              <w:spacing w:after="0" w:line="240" w:lineRule="auto"/>
              <w:rPr>
                <w:rFonts w:ascii="Tw Cen MT" w:eastAsia="Times New Roman" w:hAnsi="Tw Cen MT"/>
                <w:color w:val="000000"/>
                <w:kern w:val="0"/>
                <w:sz w:val="23"/>
                <w:szCs w:val="23"/>
                <w:lang w:val="fr-CA"/>
                <w14:ligatures w14:val="none"/>
              </w:rPr>
            </w:pPr>
          </w:p>
        </w:tc>
        <w:tc>
          <w:tcPr>
            <w:tcW w:w="1660" w:type="dxa"/>
            <w:vMerge/>
            <w:tcBorders>
              <w:top w:val="nil"/>
              <w:left w:val="nil"/>
              <w:bottom w:val="nil"/>
              <w:right w:val="nil"/>
            </w:tcBorders>
            <w:vAlign w:val="center"/>
            <w:hideMark/>
          </w:tcPr>
          <w:p w14:paraId="38605A4B" w14:textId="77777777" w:rsidR="00874F90" w:rsidRPr="00CD71E6" w:rsidRDefault="00874F90" w:rsidP="00874F90">
            <w:pPr>
              <w:spacing w:after="0" w:line="240" w:lineRule="auto"/>
              <w:rPr>
                <w:rFonts w:eastAsia="Times New Roman"/>
                <w:color w:val="FFFFFF"/>
                <w:kern w:val="0"/>
                <w:szCs w:val="22"/>
                <w:lang w:val="fr-CA"/>
                <w14:ligatures w14:val="none"/>
              </w:rPr>
            </w:pPr>
          </w:p>
        </w:tc>
        <w:tc>
          <w:tcPr>
            <w:tcW w:w="1692" w:type="dxa"/>
            <w:vMerge/>
            <w:tcBorders>
              <w:top w:val="nil"/>
              <w:left w:val="nil"/>
              <w:bottom w:val="nil"/>
              <w:right w:val="nil"/>
            </w:tcBorders>
            <w:vAlign w:val="center"/>
            <w:hideMark/>
          </w:tcPr>
          <w:p w14:paraId="6374B2C1" w14:textId="77777777" w:rsidR="00874F90" w:rsidRPr="00CD71E6" w:rsidRDefault="00874F90" w:rsidP="00874F90">
            <w:pPr>
              <w:spacing w:after="0" w:line="240" w:lineRule="auto"/>
              <w:rPr>
                <w:rFonts w:eastAsia="Times New Roman"/>
                <w:color w:val="FFFFFF"/>
                <w:kern w:val="0"/>
                <w:szCs w:val="22"/>
                <w:lang w:val="fr-CA"/>
                <w14:ligatures w14:val="none"/>
              </w:rPr>
            </w:pPr>
          </w:p>
        </w:tc>
        <w:tc>
          <w:tcPr>
            <w:tcW w:w="1660" w:type="dxa"/>
            <w:vMerge/>
            <w:tcBorders>
              <w:top w:val="nil"/>
              <w:left w:val="nil"/>
              <w:bottom w:val="nil"/>
              <w:right w:val="nil"/>
            </w:tcBorders>
            <w:vAlign w:val="center"/>
            <w:hideMark/>
          </w:tcPr>
          <w:p w14:paraId="0EFA8935" w14:textId="77777777" w:rsidR="00874F90" w:rsidRPr="00CD71E6" w:rsidRDefault="00874F90" w:rsidP="00874F90">
            <w:pPr>
              <w:spacing w:after="0" w:line="240" w:lineRule="auto"/>
              <w:rPr>
                <w:rFonts w:eastAsia="Times New Roman"/>
                <w:color w:val="FFFFFF"/>
                <w:kern w:val="0"/>
                <w:szCs w:val="22"/>
                <w:lang w:val="fr-CA"/>
                <w14:ligatures w14:val="none"/>
              </w:rPr>
            </w:pPr>
          </w:p>
        </w:tc>
      </w:tr>
      <w:tr w:rsidR="00874F90" w:rsidRPr="00CD71E6" w14:paraId="2B999505" w14:textId="77777777" w:rsidTr="00DE5535">
        <w:trPr>
          <w:trHeight w:val="300"/>
        </w:trPr>
        <w:tc>
          <w:tcPr>
            <w:tcW w:w="3520" w:type="dxa"/>
            <w:gridSpan w:val="2"/>
            <w:tcBorders>
              <w:top w:val="nil"/>
              <w:left w:val="nil"/>
              <w:bottom w:val="nil"/>
              <w:right w:val="nil"/>
            </w:tcBorders>
            <w:shd w:val="clear" w:color="auto" w:fill="auto"/>
            <w:noWrap/>
            <w:vAlign w:val="center"/>
            <w:hideMark/>
          </w:tcPr>
          <w:p w14:paraId="72DAFC9A" w14:textId="77777777" w:rsidR="00874F90" w:rsidRPr="00CD71E6" w:rsidRDefault="00874F90" w:rsidP="00874F90">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 à 29 ans</w:t>
            </w:r>
          </w:p>
        </w:tc>
        <w:tc>
          <w:tcPr>
            <w:tcW w:w="1660" w:type="dxa"/>
            <w:tcBorders>
              <w:top w:val="nil"/>
              <w:left w:val="nil"/>
              <w:bottom w:val="nil"/>
              <w:right w:val="nil"/>
            </w:tcBorders>
            <w:shd w:val="clear" w:color="auto" w:fill="auto"/>
            <w:noWrap/>
            <w:vAlign w:val="center"/>
            <w:hideMark/>
          </w:tcPr>
          <w:p w14:paraId="56199FB2" w14:textId="13D5BA96" w:rsidR="00874F90" w:rsidRPr="00CD71E6" w:rsidRDefault="00275668"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1,00</w:t>
            </w:r>
          </w:p>
        </w:tc>
        <w:tc>
          <w:tcPr>
            <w:tcW w:w="1692" w:type="dxa"/>
            <w:tcBorders>
              <w:top w:val="nil"/>
              <w:left w:val="nil"/>
              <w:bottom w:val="nil"/>
              <w:right w:val="nil"/>
            </w:tcBorders>
            <w:shd w:val="clear" w:color="auto" w:fill="auto"/>
            <w:noWrap/>
            <w:vAlign w:val="center"/>
            <w:hideMark/>
          </w:tcPr>
          <w:p w14:paraId="30106454" w14:textId="5474AB7F" w:rsidR="00874F90" w:rsidRPr="00CD71E6" w:rsidRDefault="00275668"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w:t>
            </w:r>
          </w:p>
        </w:tc>
        <w:tc>
          <w:tcPr>
            <w:tcW w:w="1660" w:type="dxa"/>
            <w:tcBorders>
              <w:top w:val="nil"/>
              <w:left w:val="nil"/>
              <w:bottom w:val="nil"/>
              <w:right w:val="nil"/>
            </w:tcBorders>
            <w:shd w:val="clear" w:color="auto" w:fill="auto"/>
            <w:noWrap/>
            <w:vAlign w:val="center"/>
            <w:hideMark/>
          </w:tcPr>
          <w:p w14:paraId="7FE5BD3C" w14:textId="1AE4004E" w:rsidR="00874F90" w:rsidRPr="00CD71E6" w:rsidRDefault="00DD3C04"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1 %</w:t>
            </w:r>
          </w:p>
        </w:tc>
      </w:tr>
      <w:tr w:rsidR="00874F90" w:rsidRPr="00CD71E6" w14:paraId="3A01ADD4" w14:textId="77777777" w:rsidTr="00DE5535">
        <w:trPr>
          <w:trHeight w:val="300"/>
        </w:trPr>
        <w:tc>
          <w:tcPr>
            <w:tcW w:w="3520" w:type="dxa"/>
            <w:gridSpan w:val="2"/>
            <w:tcBorders>
              <w:top w:val="nil"/>
              <w:left w:val="nil"/>
              <w:bottom w:val="nil"/>
              <w:right w:val="nil"/>
            </w:tcBorders>
            <w:shd w:val="clear" w:color="auto" w:fill="auto"/>
            <w:noWrap/>
            <w:vAlign w:val="center"/>
            <w:hideMark/>
          </w:tcPr>
          <w:p w14:paraId="3DF69BC9" w14:textId="77777777" w:rsidR="00874F90" w:rsidRPr="00CD71E6" w:rsidRDefault="00874F90" w:rsidP="00874F90">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30 à 39 ans</w:t>
            </w:r>
          </w:p>
        </w:tc>
        <w:tc>
          <w:tcPr>
            <w:tcW w:w="1660" w:type="dxa"/>
            <w:tcBorders>
              <w:top w:val="nil"/>
              <w:left w:val="nil"/>
              <w:bottom w:val="nil"/>
              <w:right w:val="nil"/>
            </w:tcBorders>
            <w:shd w:val="clear" w:color="auto" w:fill="auto"/>
            <w:noWrap/>
            <w:vAlign w:val="center"/>
            <w:hideMark/>
          </w:tcPr>
          <w:p w14:paraId="38C345FC" w14:textId="37EC69A8" w:rsidR="00874F90" w:rsidRPr="00CD71E6" w:rsidRDefault="004B7D07"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22,00</w:t>
            </w:r>
          </w:p>
        </w:tc>
        <w:tc>
          <w:tcPr>
            <w:tcW w:w="1692" w:type="dxa"/>
            <w:tcBorders>
              <w:top w:val="nil"/>
              <w:left w:val="nil"/>
              <w:bottom w:val="nil"/>
              <w:right w:val="nil"/>
            </w:tcBorders>
            <w:shd w:val="clear" w:color="auto" w:fill="auto"/>
            <w:noWrap/>
            <w:vAlign w:val="center"/>
            <w:hideMark/>
          </w:tcPr>
          <w:p w14:paraId="3660B7D4" w14:textId="65C3BEA8" w:rsidR="00874F90" w:rsidRPr="00CD71E6" w:rsidRDefault="004B7D07"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22</w:t>
            </w:r>
          </w:p>
        </w:tc>
        <w:tc>
          <w:tcPr>
            <w:tcW w:w="1660" w:type="dxa"/>
            <w:tcBorders>
              <w:top w:val="nil"/>
              <w:left w:val="nil"/>
              <w:bottom w:val="nil"/>
              <w:right w:val="nil"/>
            </w:tcBorders>
            <w:shd w:val="clear" w:color="auto" w:fill="auto"/>
            <w:noWrap/>
            <w:vAlign w:val="center"/>
            <w:hideMark/>
          </w:tcPr>
          <w:p w14:paraId="37790D58" w14:textId="21761E7B" w:rsidR="00874F90" w:rsidRPr="00CD71E6" w:rsidRDefault="00DD3C04"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25 %</w:t>
            </w:r>
          </w:p>
        </w:tc>
      </w:tr>
      <w:tr w:rsidR="00874F90" w:rsidRPr="00CD71E6" w14:paraId="122F6E9B" w14:textId="77777777" w:rsidTr="00DE5535">
        <w:trPr>
          <w:trHeight w:val="300"/>
        </w:trPr>
        <w:tc>
          <w:tcPr>
            <w:tcW w:w="3520" w:type="dxa"/>
            <w:gridSpan w:val="2"/>
            <w:tcBorders>
              <w:top w:val="nil"/>
              <w:left w:val="nil"/>
              <w:bottom w:val="nil"/>
              <w:right w:val="nil"/>
            </w:tcBorders>
            <w:shd w:val="clear" w:color="auto" w:fill="auto"/>
            <w:noWrap/>
            <w:vAlign w:val="center"/>
            <w:hideMark/>
          </w:tcPr>
          <w:p w14:paraId="6D767514" w14:textId="77777777" w:rsidR="00874F90" w:rsidRPr="00CD71E6" w:rsidRDefault="00874F90" w:rsidP="00874F90">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40 à 49 ans</w:t>
            </w:r>
          </w:p>
        </w:tc>
        <w:tc>
          <w:tcPr>
            <w:tcW w:w="1660" w:type="dxa"/>
            <w:tcBorders>
              <w:top w:val="nil"/>
              <w:left w:val="nil"/>
              <w:bottom w:val="nil"/>
              <w:right w:val="nil"/>
            </w:tcBorders>
            <w:shd w:val="clear" w:color="auto" w:fill="auto"/>
            <w:noWrap/>
            <w:vAlign w:val="center"/>
            <w:hideMark/>
          </w:tcPr>
          <w:p w14:paraId="74768303" w14:textId="73097F44" w:rsidR="00874F90" w:rsidRPr="00CD71E6" w:rsidRDefault="008A39FA"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19,00</w:t>
            </w:r>
          </w:p>
        </w:tc>
        <w:tc>
          <w:tcPr>
            <w:tcW w:w="1692" w:type="dxa"/>
            <w:tcBorders>
              <w:top w:val="nil"/>
              <w:left w:val="nil"/>
              <w:bottom w:val="nil"/>
              <w:right w:val="nil"/>
            </w:tcBorders>
            <w:shd w:val="clear" w:color="auto" w:fill="auto"/>
            <w:noWrap/>
            <w:vAlign w:val="center"/>
            <w:hideMark/>
          </w:tcPr>
          <w:p w14:paraId="018D08F3" w14:textId="5D8DEE56" w:rsidR="00874F90" w:rsidRPr="00CD71E6" w:rsidRDefault="008A39FA"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19</w:t>
            </w:r>
          </w:p>
        </w:tc>
        <w:tc>
          <w:tcPr>
            <w:tcW w:w="1660" w:type="dxa"/>
            <w:tcBorders>
              <w:top w:val="nil"/>
              <w:left w:val="nil"/>
              <w:bottom w:val="nil"/>
              <w:right w:val="nil"/>
            </w:tcBorders>
            <w:shd w:val="clear" w:color="auto" w:fill="auto"/>
            <w:noWrap/>
            <w:vAlign w:val="center"/>
            <w:hideMark/>
          </w:tcPr>
          <w:p w14:paraId="1A9CF353" w14:textId="28FD485D" w:rsidR="00874F90" w:rsidRPr="00CD71E6" w:rsidRDefault="00DD3C04"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21 %</w:t>
            </w:r>
          </w:p>
        </w:tc>
      </w:tr>
      <w:tr w:rsidR="00874F90" w:rsidRPr="00CD71E6" w14:paraId="0DBE1A30" w14:textId="77777777" w:rsidTr="00DE5535">
        <w:trPr>
          <w:trHeight w:val="300"/>
        </w:trPr>
        <w:tc>
          <w:tcPr>
            <w:tcW w:w="3520" w:type="dxa"/>
            <w:gridSpan w:val="2"/>
            <w:tcBorders>
              <w:top w:val="nil"/>
              <w:left w:val="nil"/>
              <w:bottom w:val="nil"/>
              <w:right w:val="nil"/>
            </w:tcBorders>
            <w:shd w:val="clear" w:color="auto" w:fill="auto"/>
            <w:noWrap/>
            <w:vAlign w:val="center"/>
            <w:hideMark/>
          </w:tcPr>
          <w:p w14:paraId="40B2D8CF" w14:textId="77777777" w:rsidR="00874F90" w:rsidRPr="00CD71E6" w:rsidRDefault="00874F90" w:rsidP="00874F90">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50 à 59 ans</w:t>
            </w:r>
          </w:p>
        </w:tc>
        <w:tc>
          <w:tcPr>
            <w:tcW w:w="1660" w:type="dxa"/>
            <w:tcBorders>
              <w:top w:val="nil"/>
              <w:left w:val="nil"/>
              <w:bottom w:val="nil"/>
              <w:right w:val="nil"/>
            </w:tcBorders>
            <w:shd w:val="clear" w:color="auto" w:fill="auto"/>
            <w:noWrap/>
            <w:vAlign w:val="center"/>
            <w:hideMark/>
          </w:tcPr>
          <w:p w14:paraId="28344AA4" w14:textId="17CDD993" w:rsidR="00874F90" w:rsidRPr="00CD71E6" w:rsidRDefault="00921CFD"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31,00</w:t>
            </w:r>
          </w:p>
        </w:tc>
        <w:tc>
          <w:tcPr>
            <w:tcW w:w="1692" w:type="dxa"/>
            <w:tcBorders>
              <w:top w:val="nil"/>
              <w:left w:val="nil"/>
              <w:bottom w:val="nil"/>
              <w:right w:val="nil"/>
            </w:tcBorders>
            <w:shd w:val="clear" w:color="auto" w:fill="auto"/>
            <w:noWrap/>
            <w:vAlign w:val="center"/>
            <w:hideMark/>
          </w:tcPr>
          <w:p w14:paraId="792031BE" w14:textId="31FF9C99" w:rsidR="00874F90" w:rsidRPr="00CD71E6" w:rsidRDefault="00921CFD"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31</w:t>
            </w:r>
          </w:p>
        </w:tc>
        <w:tc>
          <w:tcPr>
            <w:tcW w:w="1660" w:type="dxa"/>
            <w:tcBorders>
              <w:top w:val="nil"/>
              <w:left w:val="nil"/>
              <w:bottom w:val="nil"/>
              <w:right w:val="nil"/>
            </w:tcBorders>
            <w:shd w:val="clear" w:color="auto" w:fill="auto"/>
            <w:noWrap/>
            <w:vAlign w:val="center"/>
            <w:hideMark/>
          </w:tcPr>
          <w:p w14:paraId="632140C1" w14:textId="36FC412A" w:rsidR="00874F90" w:rsidRPr="00CD71E6" w:rsidRDefault="00DD3C04"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35 %</w:t>
            </w:r>
          </w:p>
        </w:tc>
      </w:tr>
      <w:tr w:rsidR="00874F90" w:rsidRPr="00CD71E6" w14:paraId="7E5938A1" w14:textId="77777777" w:rsidTr="00DE5535">
        <w:trPr>
          <w:trHeight w:val="315"/>
        </w:trPr>
        <w:tc>
          <w:tcPr>
            <w:tcW w:w="3520" w:type="dxa"/>
            <w:gridSpan w:val="2"/>
            <w:tcBorders>
              <w:top w:val="nil"/>
              <w:left w:val="nil"/>
              <w:bottom w:val="nil"/>
              <w:right w:val="nil"/>
            </w:tcBorders>
            <w:shd w:val="clear" w:color="auto" w:fill="auto"/>
            <w:noWrap/>
            <w:vAlign w:val="center"/>
            <w:hideMark/>
          </w:tcPr>
          <w:p w14:paraId="50FF5065" w14:textId="77777777" w:rsidR="00874F90" w:rsidRPr="00CD71E6" w:rsidRDefault="00874F90" w:rsidP="00874F90">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60 ans et plus</w:t>
            </w:r>
          </w:p>
        </w:tc>
        <w:tc>
          <w:tcPr>
            <w:tcW w:w="1660" w:type="dxa"/>
            <w:tcBorders>
              <w:top w:val="nil"/>
              <w:left w:val="nil"/>
              <w:bottom w:val="nil"/>
              <w:right w:val="nil"/>
            </w:tcBorders>
            <w:shd w:val="clear" w:color="auto" w:fill="auto"/>
            <w:noWrap/>
            <w:vAlign w:val="center"/>
            <w:hideMark/>
          </w:tcPr>
          <w:p w14:paraId="6DBC0BEE" w14:textId="2CBD8B37" w:rsidR="00874F90" w:rsidRPr="00CD71E6" w:rsidRDefault="008637DF"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16,00</w:t>
            </w:r>
          </w:p>
        </w:tc>
        <w:tc>
          <w:tcPr>
            <w:tcW w:w="1692" w:type="dxa"/>
            <w:tcBorders>
              <w:top w:val="nil"/>
              <w:left w:val="nil"/>
              <w:bottom w:val="nil"/>
              <w:right w:val="nil"/>
            </w:tcBorders>
            <w:shd w:val="clear" w:color="auto" w:fill="auto"/>
            <w:noWrap/>
            <w:vAlign w:val="center"/>
            <w:hideMark/>
          </w:tcPr>
          <w:p w14:paraId="6222901C" w14:textId="5868EB31" w:rsidR="00874F90" w:rsidRPr="00CD71E6" w:rsidRDefault="008637DF"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16</w:t>
            </w:r>
          </w:p>
        </w:tc>
        <w:tc>
          <w:tcPr>
            <w:tcW w:w="1660" w:type="dxa"/>
            <w:tcBorders>
              <w:top w:val="nil"/>
              <w:left w:val="nil"/>
              <w:bottom w:val="nil"/>
              <w:right w:val="nil"/>
            </w:tcBorders>
            <w:shd w:val="clear" w:color="auto" w:fill="auto"/>
            <w:noWrap/>
            <w:vAlign w:val="center"/>
            <w:hideMark/>
          </w:tcPr>
          <w:p w14:paraId="62FF7C87" w14:textId="29834881" w:rsidR="00874F90" w:rsidRPr="00CD71E6" w:rsidRDefault="00DD3C04"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18 %</w:t>
            </w:r>
          </w:p>
        </w:tc>
      </w:tr>
      <w:tr w:rsidR="00874F90" w:rsidRPr="00CD71E6" w14:paraId="2F8E87C7" w14:textId="77777777" w:rsidTr="00DE5535">
        <w:trPr>
          <w:trHeight w:val="345"/>
        </w:trPr>
        <w:tc>
          <w:tcPr>
            <w:tcW w:w="3520" w:type="dxa"/>
            <w:gridSpan w:val="2"/>
            <w:tcBorders>
              <w:top w:val="single" w:sz="12" w:space="0" w:color="auto"/>
              <w:left w:val="nil"/>
              <w:bottom w:val="single" w:sz="12" w:space="0" w:color="auto"/>
              <w:right w:val="nil"/>
            </w:tcBorders>
            <w:shd w:val="clear" w:color="auto" w:fill="auto"/>
            <w:noWrap/>
            <w:vAlign w:val="center"/>
            <w:hideMark/>
          </w:tcPr>
          <w:p w14:paraId="3FDE86C7" w14:textId="77777777" w:rsidR="00874F90" w:rsidRPr="00CD71E6" w:rsidRDefault="00874F90" w:rsidP="00874F90">
            <w:pPr>
              <w:spacing w:after="0" w:line="240" w:lineRule="auto"/>
              <w:jc w:val="right"/>
              <w:rPr>
                <w:rFonts w:eastAsia="Times New Roman"/>
                <w:b/>
                <w:bCs/>
                <w:color w:val="000000"/>
                <w:kern w:val="0"/>
                <w:sz w:val="24"/>
                <w:szCs w:val="24"/>
                <w:lang w:val="fr-CA"/>
                <w14:ligatures w14:val="none"/>
              </w:rPr>
            </w:pPr>
            <w:r w:rsidRPr="00CD71E6">
              <w:rPr>
                <w:rFonts w:eastAsia="Times New Roman"/>
                <w:b/>
                <w:bCs/>
                <w:color w:val="000000"/>
                <w:kern w:val="0"/>
                <w:sz w:val="24"/>
                <w:szCs w:val="24"/>
                <w:lang w:val="fr-CA"/>
                <w14:ligatures w14:val="none"/>
              </w:rPr>
              <w:t>Total des catégories d’emploi</w:t>
            </w:r>
          </w:p>
        </w:tc>
        <w:tc>
          <w:tcPr>
            <w:tcW w:w="1660" w:type="dxa"/>
            <w:tcBorders>
              <w:top w:val="single" w:sz="12" w:space="0" w:color="auto"/>
              <w:left w:val="nil"/>
              <w:bottom w:val="single" w:sz="12" w:space="0" w:color="auto"/>
              <w:right w:val="nil"/>
            </w:tcBorders>
            <w:shd w:val="clear" w:color="auto" w:fill="auto"/>
            <w:noWrap/>
            <w:vAlign w:val="center"/>
            <w:hideMark/>
          </w:tcPr>
          <w:p w14:paraId="56E557BC" w14:textId="77DF94F5" w:rsidR="00874F90" w:rsidRPr="00CD71E6" w:rsidRDefault="00BB36D0"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89,00</w:t>
            </w:r>
          </w:p>
        </w:tc>
        <w:tc>
          <w:tcPr>
            <w:tcW w:w="1692" w:type="dxa"/>
            <w:tcBorders>
              <w:top w:val="single" w:sz="12" w:space="0" w:color="auto"/>
              <w:left w:val="nil"/>
              <w:bottom w:val="single" w:sz="12" w:space="0" w:color="auto"/>
              <w:right w:val="nil"/>
            </w:tcBorders>
            <w:shd w:val="clear" w:color="auto" w:fill="auto"/>
            <w:noWrap/>
            <w:vAlign w:val="center"/>
            <w:hideMark/>
          </w:tcPr>
          <w:p w14:paraId="3763A02A" w14:textId="775FBA88" w:rsidR="00874F90" w:rsidRPr="00CD71E6" w:rsidRDefault="00BB36D0"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89</w:t>
            </w:r>
          </w:p>
        </w:tc>
        <w:tc>
          <w:tcPr>
            <w:tcW w:w="1660" w:type="dxa"/>
            <w:tcBorders>
              <w:top w:val="single" w:sz="12" w:space="0" w:color="auto"/>
              <w:left w:val="nil"/>
              <w:bottom w:val="single" w:sz="12" w:space="0" w:color="auto"/>
              <w:right w:val="nil"/>
            </w:tcBorders>
            <w:shd w:val="clear" w:color="auto" w:fill="auto"/>
            <w:noWrap/>
            <w:vAlign w:val="center"/>
            <w:hideMark/>
          </w:tcPr>
          <w:p w14:paraId="04042F12" w14:textId="77777777" w:rsidR="00874F90" w:rsidRPr="00CD71E6" w:rsidRDefault="00874F90" w:rsidP="00874F90">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100 %</w:t>
            </w:r>
          </w:p>
        </w:tc>
      </w:tr>
    </w:tbl>
    <w:p w14:paraId="65A11DDD" w14:textId="2E83FD93" w:rsidR="00A05899" w:rsidRPr="00CD71E6" w:rsidRDefault="00FB51A3" w:rsidP="006626DA">
      <w:pPr>
        <w:rPr>
          <w:lang w:val="fr-CA"/>
        </w:rPr>
      </w:pPr>
      <w:r w:rsidRPr="00CD71E6">
        <w:rPr>
          <w:lang w:val="fr-CA"/>
        </w:rPr>
        <w:br/>
        <w:t xml:space="preserve">Comme environ 18 % des employés actuels faisant partie de la catégorie des professionnels approchent la retraite (60 ans et plus), le Collège est bien placé pour élargir l’embauchage des Inuits dans cette catégorie, à condition d’être en mesure d’utiliser le perfectionnement professionnel des candidats inuits pour traiter les lacunes du marché du travail cernées. </w:t>
      </w:r>
    </w:p>
    <w:p w14:paraId="75BB5AB5" w14:textId="6B503EE3" w:rsidR="006057F8" w:rsidRPr="00CD71E6" w:rsidRDefault="00FB51A3" w:rsidP="006626DA">
      <w:pPr>
        <w:rPr>
          <w:lang w:val="fr-CA"/>
        </w:rPr>
      </w:pPr>
      <w:r w:rsidRPr="00CD71E6">
        <w:rPr>
          <w:lang w:val="fr-CA"/>
        </w:rPr>
        <w:t xml:space="preserve">Dans la </w:t>
      </w:r>
      <w:r w:rsidRPr="00CD71E6">
        <w:rPr>
          <w:b/>
          <w:bCs/>
          <w:lang w:val="fr-CA"/>
        </w:rPr>
        <w:t>catégorie des paraprofessionnels</w:t>
      </w:r>
      <w:r w:rsidRPr="00CD71E6">
        <w:rPr>
          <w:lang w:val="fr-CA"/>
        </w:rPr>
        <w:t>, les employés étaient surtout concentrés dans les tranches de 30 à 39 ans et de 50 à 59 ans.</w:t>
      </w:r>
    </w:p>
    <w:tbl>
      <w:tblPr>
        <w:tblW w:w="8500" w:type="dxa"/>
        <w:tblInd w:w="93" w:type="dxa"/>
        <w:tblLook w:val="04A0" w:firstRow="1" w:lastRow="0" w:firstColumn="1" w:lastColumn="0" w:noHBand="0" w:noVBand="1"/>
      </w:tblPr>
      <w:tblGrid>
        <w:gridCol w:w="1760"/>
        <w:gridCol w:w="1760"/>
        <w:gridCol w:w="1660"/>
        <w:gridCol w:w="1692"/>
        <w:gridCol w:w="1660"/>
      </w:tblGrid>
      <w:tr w:rsidR="00FB51A3" w:rsidRPr="00CD71E6" w14:paraId="0F880165" w14:textId="77777777" w:rsidTr="00FB51A3">
        <w:trPr>
          <w:trHeight w:val="345"/>
        </w:trPr>
        <w:tc>
          <w:tcPr>
            <w:tcW w:w="1760" w:type="dxa"/>
            <w:tcBorders>
              <w:top w:val="nil"/>
              <w:left w:val="nil"/>
              <w:bottom w:val="nil"/>
              <w:right w:val="nil"/>
            </w:tcBorders>
            <w:shd w:val="clear" w:color="auto" w:fill="auto"/>
            <w:noWrap/>
            <w:vAlign w:val="bottom"/>
            <w:hideMark/>
          </w:tcPr>
          <w:p w14:paraId="3055BDBA" w14:textId="77777777" w:rsidR="00FB51A3" w:rsidRPr="00CD71E6" w:rsidRDefault="00FB51A3" w:rsidP="00FB51A3">
            <w:pPr>
              <w:spacing w:after="0" w:line="240" w:lineRule="auto"/>
              <w:rPr>
                <w:rFonts w:eastAsia="Times New Roman"/>
                <w:color w:val="000000"/>
                <w:kern w:val="0"/>
                <w:szCs w:val="22"/>
                <w:lang w:val="fr-CA"/>
                <w14:ligatures w14:val="none"/>
              </w:rPr>
            </w:pPr>
          </w:p>
        </w:tc>
        <w:tc>
          <w:tcPr>
            <w:tcW w:w="1760" w:type="dxa"/>
            <w:tcBorders>
              <w:top w:val="nil"/>
              <w:left w:val="nil"/>
              <w:bottom w:val="nil"/>
              <w:right w:val="nil"/>
            </w:tcBorders>
            <w:shd w:val="clear" w:color="auto" w:fill="auto"/>
            <w:noWrap/>
            <w:vAlign w:val="bottom"/>
            <w:hideMark/>
          </w:tcPr>
          <w:p w14:paraId="645C5C30" w14:textId="77777777" w:rsidR="00FB51A3" w:rsidRPr="00CD71E6" w:rsidRDefault="00FB51A3" w:rsidP="00FB51A3">
            <w:pPr>
              <w:spacing w:after="0" w:line="240" w:lineRule="auto"/>
              <w:rPr>
                <w:rFonts w:ascii="Tw Cen MT" w:eastAsia="Times New Roman" w:hAnsi="Tw Cen MT"/>
                <w:color w:val="000000"/>
                <w:kern w:val="0"/>
                <w:sz w:val="23"/>
                <w:szCs w:val="23"/>
                <w:lang w:val="fr-CA"/>
                <w14:ligatures w14:val="none"/>
              </w:rPr>
            </w:pPr>
          </w:p>
        </w:tc>
        <w:tc>
          <w:tcPr>
            <w:tcW w:w="4980" w:type="dxa"/>
            <w:gridSpan w:val="3"/>
            <w:tcBorders>
              <w:top w:val="nil"/>
              <w:left w:val="nil"/>
              <w:bottom w:val="nil"/>
              <w:right w:val="nil"/>
            </w:tcBorders>
            <w:shd w:val="clear" w:color="000000" w:fill="000000"/>
            <w:noWrap/>
            <w:vAlign w:val="center"/>
            <w:hideMark/>
          </w:tcPr>
          <w:p w14:paraId="4649928D" w14:textId="77777777" w:rsidR="00FB51A3" w:rsidRPr="00CD71E6" w:rsidRDefault="00FB51A3" w:rsidP="00FB51A3">
            <w:pPr>
              <w:spacing w:after="0" w:line="240" w:lineRule="auto"/>
              <w:jc w:val="center"/>
              <w:rPr>
                <w:rFonts w:eastAsia="Times New Roman"/>
                <w:b/>
                <w:bCs/>
                <w:color w:val="FFFFFF"/>
                <w:kern w:val="0"/>
                <w:sz w:val="26"/>
                <w:szCs w:val="26"/>
                <w:lang w:val="fr-CA"/>
                <w14:ligatures w14:val="none"/>
              </w:rPr>
            </w:pPr>
            <w:r w:rsidRPr="00CD71E6">
              <w:rPr>
                <w:rFonts w:eastAsia="Times New Roman"/>
                <w:b/>
                <w:bCs/>
                <w:color w:val="FFFFFF"/>
                <w:kern w:val="0"/>
                <w:sz w:val="26"/>
                <w:szCs w:val="26"/>
                <w:lang w:val="fr-CA"/>
                <w14:ligatures w14:val="none"/>
              </w:rPr>
              <w:t>Catégorie des paraprofessionnels</w:t>
            </w:r>
          </w:p>
        </w:tc>
      </w:tr>
      <w:tr w:rsidR="00FB51A3" w:rsidRPr="00CD71E6" w14:paraId="74D62921" w14:textId="77777777" w:rsidTr="00FB51A3">
        <w:trPr>
          <w:trHeight w:val="300"/>
        </w:trPr>
        <w:tc>
          <w:tcPr>
            <w:tcW w:w="1760" w:type="dxa"/>
            <w:tcBorders>
              <w:top w:val="nil"/>
              <w:left w:val="nil"/>
              <w:bottom w:val="nil"/>
              <w:right w:val="nil"/>
            </w:tcBorders>
            <w:shd w:val="clear" w:color="auto" w:fill="auto"/>
            <w:noWrap/>
            <w:vAlign w:val="bottom"/>
            <w:hideMark/>
          </w:tcPr>
          <w:p w14:paraId="6FAA2ED2" w14:textId="77777777" w:rsidR="00FB51A3" w:rsidRPr="00CD71E6" w:rsidRDefault="00FB51A3" w:rsidP="00FB51A3">
            <w:pPr>
              <w:spacing w:after="0" w:line="240" w:lineRule="auto"/>
              <w:rPr>
                <w:rFonts w:eastAsia="Times New Roman"/>
                <w:color w:val="000000"/>
                <w:kern w:val="0"/>
                <w:szCs w:val="22"/>
                <w:lang w:val="fr-CA"/>
                <w14:ligatures w14:val="none"/>
              </w:rPr>
            </w:pPr>
          </w:p>
        </w:tc>
        <w:tc>
          <w:tcPr>
            <w:tcW w:w="1760" w:type="dxa"/>
            <w:tcBorders>
              <w:top w:val="nil"/>
              <w:left w:val="nil"/>
              <w:bottom w:val="nil"/>
              <w:right w:val="nil"/>
            </w:tcBorders>
            <w:shd w:val="clear" w:color="auto" w:fill="auto"/>
            <w:noWrap/>
            <w:vAlign w:val="bottom"/>
            <w:hideMark/>
          </w:tcPr>
          <w:p w14:paraId="6ED311CB" w14:textId="77777777" w:rsidR="00FB51A3" w:rsidRPr="00CD71E6" w:rsidRDefault="00FB51A3" w:rsidP="00FB51A3">
            <w:pPr>
              <w:spacing w:after="0" w:line="240" w:lineRule="auto"/>
              <w:rPr>
                <w:rFonts w:ascii="Tw Cen MT" w:eastAsia="Times New Roman" w:hAnsi="Tw Cen MT"/>
                <w:color w:val="000000"/>
                <w:kern w:val="0"/>
                <w:sz w:val="23"/>
                <w:szCs w:val="23"/>
                <w:lang w:val="fr-CA"/>
                <w14:ligatures w14:val="none"/>
              </w:rPr>
            </w:pPr>
          </w:p>
        </w:tc>
        <w:tc>
          <w:tcPr>
            <w:tcW w:w="1660" w:type="dxa"/>
            <w:vMerge w:val="restart"/>
            <w:tcBorders>
              <w:top w:val="nil"/>
              <w:left w:val="nil"/>
              <w:bottom w:val="nil"/>
              <w:right w:val="nil"/>
            </w:tcBorders>
            <w:shd w:val="clear" w:color="000000" w:fill="000000"/>
            <w:vAlign w:val="center"/>
            <w:hideMark/>
          </w:tcPr>
          <w:p w14:paraId="325E7AFA" w14:textId="77777777" w:rsidR="00FB51A3" w:rsidRPr="00CD71E6" w:rsidRDefault="00FB51A3" w:rsidP="00FB51A3">
            <w:pPr>
              <w:spacing w:after="0" w:line="240" w:lineRule="auto"/>
              <w:jc w:val="center"/>
              <w:rPr>
                <w:rFonts w:eastAsia="Times New Roman"/>
                <w:color w:val="FFFFFF"/>
                <w:kern w:val="0"/>
                <w:szCs w:val="22"/>
                <w:lang w:val="fr-CA"/>
                <w14:ligatures w14:val="none"/>
              </w:rPr>
            </w:pPr>
            <w:r w:rsidRPr="00CD71E6">
              <w:rPr>
                <w:rFonts w:eastAsia="Times New Roman"/>
                <w:color w:val="FFFFFF"/>
                <w:kern w:val="0"/>
                <w:szCs w:val="22"/>
                <w:lang w:val="fr-CA"/>
                <w14:ligatures w14:val="none"/>
              </w:rPr>
              <w:t>Total des postes (ETP)</w:t>
            </w:r>
          </w:p>
        </w:tc>
        <w:tc>
          <w:tcPr>
            <w:tcW w:w="1660" w:type="dxa"/>
            <w:vMerge w:val="restart"/>
            <w:tcBorders>
              <w:top w:val="nil"/>
              <w:left w:val="nil"/>
              <w:bottom w:val="nil"/>
              <w:right w:val="nil"/>
            </w:tcBorders>
            <w:shd w:val="clear" w:color="000000" w:fill="000000"/>
            <w:vAlign w:val="center"/>
            <w:hideMark/>
          </w:tcPr>
          <w:p w14:paraId="6DA0A7C1" w14:textId="4D574636" w:rsidR="00FB51A3" w:rsidRPr="00CD71E6" w:rsidRDefault="00FB51A3" w:rsidP="00FB51A3">
            <w:pPr>
              <w:spacing w:after="0" w:line="240" w:lineRule="auto"/>
              <w:jc w:val="center"/>
              <w:rPr>
                <w:rFonts w:eastAsia="Times New Roman"/>
                <w:color w:val="FFFFFF"/>
                <w:kern w:val="0"/>
                <w:szCs w:val="22"/>
                <w:lang w:val="fr-CA"/>
                <w14:ligatures w14:val="none"/>
              </w:rPr>
            </w:pPr>
            <w:r w:rsidRPr="00CD71E6">
              <w:rPr>
                <w:rFonts w:eastAsia="Times New Roman"/>
                <w:color w:val="FFFFFF"/>
                <w:kern w:val="0"/>
                <w:szCs w:val="22"/>
                <w:lang w:val="fr-CA"/>
                <w14:ligatures w14:val="none"/>
              </w:rPr>
              <w:t>Nombre total de postes (dénombrement des effectifs)</w:t>
            </w:r>
          </w:p>
        </w:tc>
        <w:tc>
          <w:tcPr>
            <w:tcW w:w="1660" w:type="dxa"/>
            <w:vMerge w:val="restart"/>
            <w:tcBorders>
              <w:top w:val="nil"/>
              <w:left w:val="nil"/>
              <w:bottom w:val="nil"/>
              <w:right w:val="nil"/>
            </w:tcBorders>
            <w:shd w:val="clear" w:color="000000" w:fill="000000"/>
            <w:vAlign w:val="center"/>
            <w:hideMark/>
          </w:tcPr>
          <w:p w14:paraId="47507646" w14:textId="77777777" w:rsidR="00FB51A3" w:rsidRPr="00CD71E6" w:rsidRDefault="00FB51A3" w:rsidP="00FB51A3">
            <w:pPr>
              <w:spacing w:after="0" w:line="240" w:lineRule="auto"/>
              <w:jc w:val="center"/>
              <w:rPr>
                <w:rFonts w:eastAsia="Times New Roman"/>
                <w:color w:val="FFFFFF"/>
                <w:kern w:val="0"/>
                <w:szCs w:val="22"/>
                <w:lang w:val="fr-CA"/>
                <w14:ligatures w14:val="none"/>
              </w:rPr>
            </w:pPr>
            <w:r w:rsidRPr="00CD71E6">
              <w:rPr>
                <w:rFonts w:eastAsia="Times New Roman"/>
                <w:color w:val="FFFFFF"/>
                <w:kern w:val="0"/>
                <w:szCs w:val="22"/>
                <w:lang w:val="fr-CA"/>
                <w14:ligatures w14:val="none"/>
              </w:rPr>
              <w:t>% de la catégorie</w:t>
            </w:r>
          </w:p>
        </w:tc>
      </w:tr>
      <w:tr w:rsidR="00FB51A3" w:rsidRPr="00CD71E6" w14:paraId="65BDB2F6" w14:textId="77777777" w:rsidTr="00FB51A3">
        <w:trPr>
          <w:trHeight w:val="300"/>
        </w:trPr>
        <w:tc>
          <w:tcPr>
            <w:tcW w:w="1760" w:type="dxa"/>
            <w:tcBorders>
              <w:top w:val="nil"/>
              <w:left w:val="nil"/>
              <w:bottom w:val="nil"/>
              <w:right w:val="nil"/>
            </w:tcBorders>
            <w:shd w:val="clear" w:color="auto" w:fill="auto"/>
            <w:noWrap/>
            <w:vAlign w:val="bottom"/>
            <w:hideMark/>
          </w:tcPr>
          <w:p w14:paraId="56F4BEB0" w14:textId="77777777" w:rsidR="00FB51A3" w:rsidRPr="00CD71E6" w:rsidRDefault="00FB51A3" w:rsidP="00FB51A3">
            <w:pPr>
              <w:spacing w:after="0" w:line="240" w:lineRule="auto"/>
              <w:rPr>
                <w:rFonts w:eastAsia="Times New Roman"/>
                <w:color w:val="000000"/>
                <w:kern w:val="0"/>
                <w:szCs w:val="22"/>
                <w:lang w:val="fr-CA"/>
                <w14:ligatures w14:val="none"/>
              </w:rPr>
            </w:pPr>
          </w:p>
        </w:tc>
        <w:tc>
          <w:tcPr>
            <w:tcW w:w="1760" w:type="dxa"/>
            <w:tcBorders>
              <w:top w:val="nil"/>
              <w:left w:val="nil"/>
              <w:bottom w:val="nil"/>
              <w:right w:val="nil"/>
            </w:tcBorders>
            <w:shd w:val="clear" w:color="auto" w:fill="auto"/>
            <w:noWrap/>
            <w:vAlign w:val="bottom"/>
            <w:hideMark/>
          </w:tcPr>
          <w:p w14:paraId="06444EC4" w14:textId="77777777" w:rsidR="00FB51A3" w:rsidRPr="00CD71E6" w:rsidRDefault="00FB51A3" w:rsidP="00FB51A3">
            <w:pPr>
              <w:spacing w:after="0" w:line="240" w:lineRule="auto"/>
              <w:rPr>
                <w:rFonts w:ascii="Tw Cen MT" w:eastAsia="Times New Roman" w:hAnsi="Tw Cen MT"/>
                <w:color w:val="000000"/>
                <w:kern w:val="0"/>
                <w:sz w:val="23"/>
                <w:szCs w:val="23"/>
                <w:lang w:val="fr-CA"/>
                <w14:ligatures w14:val="none"/>
              </w:rPr>
            </w:pPr>
          </w:p>
        </w:tc>
        <w:tc>
          <w:tcPr>
            <w:tcW w:w="1660" w:type="dxa"/>
            <w:vMerge/>
            <w:tcBorders>
              <w:top w:val="nil"/>
              <w:left w:val="nil"/>
              <w:bottom w:val="nil"/>
              <w:right w:val="nil"/>
            </w:tcBorders>
            <w:vAlign w:val="center"/>
            <w:hideMark/>
          </w:tcPr>
          <w:p w14:paraId="058E6D1B" w14:textId="77777777" w:rsidR="00FB51A3" w:rsidRPr="00CD71E6" w:rsidRDefault="00FB51A3" w:rsidP="00FB51A3">
            <w:pPr>
              <w:spacing w:after="0" w:line="240" w:lineRule="auto"/>
              <w:rPr>
                <w:rFonts w:eastAsia="Times New Roman"/>
                <w:color w:val="FFFFFF"/>
                <w:kern w:val="0"/>
                <w:szCs w:val="22"/>
                <w:lang w:val="fr-CA"/>
                <w14:ligatures w14:val="none"/>
              </w:rPr>
            </w:pPr>
          </w:p>
        </w:tc>
        <w:tc>
          <w:tcPr>
            <w:tcW w:w="1660" w:type="dxa"/>
            <w:vMerge/>
            <w:tcBorders>
              <w:top w:val="nil"/>
              <w:left w:val="nil"/>
              <w:bottom w:val="nil"/>
              <w:right w:val="nil"/>
            </w:tcBorders>
            <w:vAlign w:val="center"/>
            <w:hideMark/>
          </w:tcPr>
          <w:p w14:paraId="43FC4541" w14:textId="77777777" w:rsidR="00FB51A3" w:rsidRPr="00CD71E6" w:rsidRDefault="00FB51A3" w:rsidP="00FB51A3">
            <w:pPr>
              <w:spacing w:after="0" w:line="240" w:lineRule="auto"/>
              <w:rPr>
                <w:rFonts w:eastAsia="Times New Roman"/>
                <w:color w:val="FFFFFF"/>
                <w:kern w:val="0"/>
                <w:szCs w:val="22"/>
                <w:lang w:val="fr-CA"/>
                <w14:ligatures w14:val="none"/>
              </w:rPr>
            </w:pPr>
          </w:p>
        </w:tc>
        <w:tc>
          <w:tcPr>
            <w:tcW w:w="1660" w:type="dxa"/>
            <w:vMerge/>
            <w:tcBorders>
              <w:top w:val="nil"/>
              <w:left w:val="nil"/>
              <w:bottom w:val="nil"/>
              <w:right w:val="nil"/>
            </w:tcBorders>
            <w:vAlign w:val="center"/>
            <w:hideMark/>
          </w:tcPr>
          <w:p w14:paraId="3FF99B0A" w14:textId="77777777" w:rsidR="00FB51A3" w:rsidRPr="00CD71E6" w:rsidRDefault="00FB51A3" w:rsidP="00FB51A3">
            <w:pPr>
              <w:spacing w:after="0" w:line="240" w:lineRule="auto"/>
              <w:rPr>
                <w:rFonts w:eastAsia="Times New Roman"/>
                <w:color w:val="FFFFFF"/>
                <w:kern w:val="0"/>
                <w:szCs w:val="22"/>
                <w:lang w:val="fr-CA"/>
                <w14:ligatures w14:val="none"/>
              </w:rPr>
            </w:pPr>
          </w:p>
        </w:tc>
      </w:tr>
      <w:tr w:rsidR="00FB51A3" w:rsidRPr="00CD71E6" w14:paraId="28D45FED" w14:textId="77777777" w:rsidTr="00FB51A3">
        <w:trPr>
          <w:trHeight w:val="300"/>
        </w:trPr>
        <w:tc>
          <w:tcPr>
            <w:tcW w:w="3520" w:type="dxa"/>
            <w:gridSpan w:val="2"/>
            <w:tcBorders>
              <w:top w:val="nil"/>
              <w:left w:val="nil"/>
              <w:bottom w:val="nil"/>
              <w:right w:val="nil"/>
            </w:tcBorders>
            <w:shd w:val="clear" w:color="auto" w:fill="auto"/>
            <w:noWrap/>
            <w:vAlign w:val="center"/>
            <w:hideMark/>
          </w:tcPr>
          <w:p w14:paraId="39876986" w14:textId="77777777" w:rsidR="00FB51A3" w:rsidRPr="00CD71E6" w:rsidRDefault="00FB51A3" w:rsidP="00FB51A3">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 à 29 ans</w:t>
            </w:r>
          </w:p>
        </w:tc>
        <w:tc>
          <w:tcPr>
            <w:tcW w:w="1660" w:type="dxa"/>
            <w:tcBorders>
              <w:top w:val="nil"/>
              <w:left w:val="nil"/>
              <w:bottom w:val="nil"/>
              <w:right w:val="nil"/>
            </w:tcBorders>
            <w:shd w:val="clear" w:color="auto" w:fill="auto"/>
            <w:noWrap/>
            <w:vAlign w:val="center"/>
            <w:hideMark/>
          </w:tcPr>
          <w:p w14:paraId="1AE81193" w14:textId="77777777" w:rsidR="00FB51A3" w:rsidRPr="00CD71E6" w:rsidRDefault="00FB51A3"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2,00</w:t>
            </w:r>
          </w:p>
        </w:tc>
        <w:tc>
          <w:tcPr>
            <w:tcW w:w="1660" w:type="dxa"/>
            <w:tcBorders>
              <w:top w:val="nil"/>
              <w:left w:val="nil"/>
              <w:bottom w:val="nil"/>
              <w:right w:val="nil"/>
            </w:tcBorders>
            <w:shd w:val="clear" w:color="auto" w:fill="auto"/>
            <w:noWrap/>
            <w:vAlign w:val="center"/>
            <w:hideMark/>
          </w:tcPr>
          <w:p w14:paraId="53F6EA5A" w14:textId="254C889E" w:rsidR="00FB51A3" w:rsidRPr="00CD71E6" w:rsidRDefault="00652D68"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w:t>
            </w:r>
          </w:p>
        </w:tc>
        <w:tc>
          <w:tcPr>
            <w:tcW w:w="1660" w:type="dxa"/>
            <w:tcBorders>
              <w:top w:val="nil"/>
              <w:left w:val="nil"/>
              <w:bottom w:val="nil"/>
              <w:right w:val="nil"/>
            </w:tcBorders>
            <w:shd w:val="clear" w:color="auto" w:fill="auto"/>
            <w:noWrap/>
            <w:vAlign w:val="center"/>
            <w:hideMark/>
          </w:tcPr>
          <w:p w14:paraId="42895024" w14:textId="2193CEFC" w:rsidR="00FB51A3" w:rsidRPr="00CD71E6" w:rsidRDefault="006A0805"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11 %</w:t>
            </w:r>
          </w:p>
        </w:tc>
      </w:tr>
      <w:tr w:rsidR="00FB51A3" w:rsidRPr="00CD71E6" w14:paraId="1544EC54" w14:textId="77777777" w:rsidTr="00FB51A3">
        <w:trPr>
          <w:trHeight w:val="300"/>
        </w:trPr>
        <w:tc>
          <w:tcPr>
            <w:tcW w:w="3520" w:type="dxa"/>
            <w:gridSpan w:val="2"/>
            <w:tcBorders>
              <w:top w:val="nil"/>
              <w:left w:val="nil"/>
              <w:bottom w:val="nil"/>
              <w:right w:val="nil"/>
            </w:tcBorders>
            <w:shd w:val="clear" w:color="auto" w:fill="auto"/>
            <w:noWrap/>
            <w:vAlign w:val="center"/>
            <w:hideMark/>
          </w:tcPr>
          <w:p w14:paraId="7670E1AF" w14:textId="77777777" w:rsidR="00FB51A3" w:rsidRPr="00CD71E6" w:rsidRDefault="00FB51A3" w:rsidP="00FB51A3">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30 à 39 ans</w:t>
            </w:r>
          </w:p>
        </w:tc>
        <w:tc>
          <w:tcPr>
            <w:tcW w:w="1660" w:type="dxa"/>
            <w:tcBorders>
              <w:top w:val="nil"/>
              <w:left w:val="nil"/>
              <w:bottom w:val="nil"/>
              <w:right w:val="nil"/>
            </w:tcBorders>
            <w:shd w:val="clear" w:color="auto" w:fill="auto"/>
            <w:noWrap/>
            <w:vAlign w:val="center"/>
            <w:hideMark/>
          </w:tcPr>
          <w:p w14:paraId="638EE790" w14:textId="2C1523FA" w:rsidR="00FB51A3" w:rsidRPr="00CD71E6" w:rsidRDefault="00E51002"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5,00</w:t>
            </w:r>
          </w:p>
        </w:tc>
        <w:tc>
          <w:tcPr>
            <w:tcW w:w="1660" w:type="dxa"/>
            <w:tcBorders>
              <w:top w:val="nil"/>
              <w:left w:val="nil"/>
              <w:bottom w:val="nil"/>
              <w:right w:val="nil"/>
            </w:tcBorders>
            <w:shd w:val="clear" w:color="auto" w:fill="auto"/>
            <w:noWrap/>
            <w:vAlign w:val="center"/>
            <w:hideMark/>
          </w:tcPr>
          <w:p w14:paraId="7C567C37" w14:textId="0DFC5C19" w:rsidR="00FB51A3" w:rsidRPr="00CD71E6" w:rsidRDefault="00652D68"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5</w:t>
            </w:r>
          </w:p>
        </w:tc>
        <w:tc>
          <w:tcPr>
            <w:tcW w:w="1660" w:type="dxa"/>
            <w:tcBorders>
              <w:top w:val="nil"/>
              <w:left w:val="nil"/>
              <w:bottom w:val="nil"/>
              <w:right w:val="nil"/>
            </w:tcBorders>
            <w:shd w:val="clear" w:color="auto" w:fill="auto"/>
            <w:noWrap/>
            <w:vAlign w:val="center"/>
            <w:hideMark/>
          </w:tcPr>
          <w:p w14:paraId="1CE84251" w14:textId="50D2BD37" w:rsidR="00FB51A3" w:rsidRPr="00CD71E6" w:rsidRDefault="006A0805"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28 %</w:t>
            </w:r>
          </w:p>
        </w:tc>
      </w:tr>
      <w:tr w:rsidR="00FB51A3" w:rsidRPr="00CD71E6" w14:paraId="3DB0A69E" w14:textId="77777777" w:rsidTr="00FB51A3">
        <w:trPr>
          <w:trHeight w:val="300"/>
        </w:trPr>
        <w:tc>
          <w:tcPr>
            <w:tcW w:w="3520" w:type="dxa"/>
            <w:gridSpan w:val="2"/>
            <w:tcBorders>
              <w:top w:val="nil"/>
              <w:left w:val="nil"/>
              <w:bottom w:val="nil"/>
              <w:right w:val="nil"/>
            </w:tcBorders>
            <w:shd w:val="clear" w:color="auto" w:fill="auto"/>
            <w:noWrap/>
            <w:vAlign w:val="center"/>
            <w:hideMark/>
          </w:tcPr>
          <w:p w14:paraId="102B1043" w14:textId="77777777" w:rsidR="00FB51A3" w:rsidRPr="00CD71E6" w:rsidRDefault="00FB51A3" w:rsidP="00FB51A3">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40 à 49 ans</w:t>
            </w:r>
          </w:p>
        </w:tc>
        <w:tc>
          <w:tcPr>
            <w:tcW w:w="1660" w:type="dxa"/>
            <w:tcBorders>
              <w:top w:val="nil"/>
              <w:left w:val="nil"/>
              <w:bottom w:val="nil"/>
              <w:right w:val="nil"/>
            </w:tcBorders>
            <w:shd w:val="clear" w:color="auto" w:fill="auto"/>
            <w:noWrap/>
            <w:vAlign w:val="center"/>
            <w:hideMark/>
          </w:tcPr>
          <w:p w14:paraId="5F1B813A" w14:textId="3FB1C10B" w:rsidR="00FB51A3" w:rsidRPr="00CD71E6" w:rsidRDefault="00771BD8"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4,00</w:t>
            </w:r>
          </w:p>
        </w:tc>
        <w:tc>
          <w:tcPr>
            <w:tcW w:w="1660" w:type="dxa"/>
            <w:tcBorders>
              <w:top w:val="nil"/>
              <w:left w:val="nil"/>
              <w:bottom w:val="nil"/>
              <w:right w:val="nil"/>
            </w:tcBorders>
            <w:shd w:val="clear" w:color="auto" w:fill="auto"/>
            <w:noWrap/>
            <w:vAlign w:val="center"/>
            <w:hideMark/>
          </w:tcPr>
          <w:p w14:paraId="3D397253" w14:textId="5541396D" w:rsidR="00FB51A3" w:rsidRPr="00CD71E6" w:rsidRDefault="00652D68"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4</w:t>
            </w:r>
          </w:p>
        </w:tc>
        <w:tc>
          <w:tcPr>
            <w:tcW w:w="1660" w:type="dxa"/>
            <w:tcBorders>
              <w:top w:val="nil"/>
              <w:left w:val="nil"/>
              <w:bottom w:val="nil"/>
              <w:right w:val="nil"/>
            </w:tcBorders>
            <w:shd w:val="clear" w:color="auto" w:fill="auto"/>
            <w:noWrap/>
            <w:vAlign w:val="center"/>
            <w:hideMark/>
          </w:tcPr>
          <w:p w14:paraId="5FE3B557" w14:textId="4245004F" w:rsidR="00FB51A3" w:rsidRPr="00CD71E6" w:rsidRDefault="000A6901"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22 %</w:t>
            </w:r>
          </w:p>
        </w:tc>
      </w:tr>
      <w:tr w:rsidR="00FB51A3" w:rsidRPr="00CD71E6" w14:paraId="1DB97ED5" w14:textId="77777777" w:rsidTr="00FB51A3">
        <w:trPr>
          <w:trHeight w:val="300"/>
        </w:trPr>
        <w:tc>
          <w:tcPr>
            <w:tcW w:w="3520" w:type="dxa"/>
            <w:gridSpan w:val="2"/>
            <w:tcBorders>
              <w:top w:val="nil"/>
              <w:left w:val="nil"/>
              <w:bottom w:val="nil"/>
              <w:right w:val="nil"/>
            </w:tcBorders>
            <w:shd w:val="clear" w:color="auto" w:fill="auto"/>
            <w:noWrap/>
            <w:vAlign w:val="center"/>
            <w:hideMark/>
          </w:tcPr>
          <w:p w14:paraId="3CF4D756" w14:textId="77777777" w:rsidR="00FB51A3" w:rsidRPr="00CD71E6" w:rsidRDefault="00FB51A3" w:rsidP="00FB51A3">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50 à 59 ans</w:t>
            </w:r>
          </w:p>
        </w:tc>
        <w:tc>
          <w:tcPr>
            <w:tcW w:w="1660" w:type="dxa"/>
            <w:tcBorders>
              <w:top w:val="nil"/>
              <w:left w:val="nil"/>
              <w:bottom w:val="nil"/>
              <w:right w:val="nil"/>
            </w:tcBorders>
            <w:shd w:val="clear" w:color="auto" w:fill="auto"/>
            <w:noWrap/>
            <w:vAlign w:val="center"/>
            <w:hideMark/>
          </w:tcPr>
          <w:p w14:paraId="17F5D337" w14:textId="18747824" w:rsidR="00FB51A3" w:rsidRPr="00CD71E6" w:rsidRDefault="007F6BC4"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5,00</w:t>
            </w:r>
          </w:p>
        </w:tc>
        <w:tc>
          <w:tcPr>
            <w:tcW w:w="1660" w:type="dxa"/>
            <w:tcBorders>
              <w:top w:val="nil"/>
              <w:left w:val="nil"/>
              <w:bottom w:val="nil"/>
              <w:right w:val="nil"/>
            </w:tcBorders>
            <w:shd w:val="clear" w:color="auto" w:fill="auto"/>
            <w:noWrap/>
            <w:vAlign w:val="center"/>
            <w:hideMark/>
          </w:tcPr>
          <w:p w14:paraId="4CB497B5" w14:textId="4D7D995B" w:rsidR="00FB51A3" w:rsidRPr="00CD71E6" w:rsidRDefault="00652D68"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5</w:t>
            </w:r>
          </w:p>
        </w:tc>
        <w:tc>
          <w:tcPr>
            <w:tcW w:w="1660" w:type="dxa"/>
            <w:tcBorders>
              <w:top w:val="nil"/>
              <w:left w:val="nil"/>
              <w:bottom w:val="nil"/>
              <w:right w:val="nil"/>
            </w:tcBorders>
            <w:shd w:val="clear" w:color="auto" w:fill="auto"/>
            <w:noWrap/>
            <w:vAlign w:val="center"/>
            <w:hideMark/>
          </w:tcPr>
          <w:p w14:paraId="472CD378" w14:textId="77777777" w:rsidR="00FB51A3" w:rsidRPr="00CD71E6" w:rsidRDefault="00FB51A3"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28 %</w:t>
            </w:r>
          </w:p>
        </w:tc>
      </w:tr>
      <w:tr w:rsidR="00FB51A3" w:rsidRPr="00CD71E6" w14:paraId="56F672AA" w14:textId="77777777" w:rsidTr="00FB51A3">
        <w:trPr>
          <w:trHeight w:val="315"/>
        </w:trPr>
        <w:tc>
          <w:tcPr>
            <w:tcW w:w="3520" w:type="dxa"/>
            <w:gridSpan w:val="2"/>
            <w:tcBorders>
              <w:top w:val="nil"/>
              <w:left w:val="nil"/>
              <w:bottom w:val="nil"/>
              <w:right w:val="nil"/>
            </w:tcBorders>
            <w:shd w:val="clear" w:color="auto" w:fill="auto"/>
            <w:noWrap/>
            <w:vAlign w:val="center"/>
            <w:hideMark/>
          </w:tcPr>
          <w:p w14:paraId="70437BDB" w14:textId="77777777" w:rsidR="00FB51A3" w:rsidRPr="00CD71E6" w:rsidRDefault="00FB51A3" w:rsidP="00FB51A3">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60 ans et plus</w:t>
            </w:r>
          </w:p>
        </w:tc>
        <w:tc>
          <w:tcPr>
            <w:tcW w:w="1660" w:type="dxa"/>
            <w:tcBorders>
              <w:top w:val="nil"/>
              <w:left w:val="nil"/>
              <w:bottom w:val="nil"/>
              <w:right w:val="nil"/>
            </w:tcBorders>
            <w:shd w:val="clear" w:color="auto" w:fill="auto"/>
            <w:noWrap/>
            <w:vAlign w:val="center"/>
            <w:hideMark/>
          </w:tcPr>
          <w:p w14:paraId="67F36F86" w14:textId="77777777" w:rsidR="00FB51A3" w:rsidRPr="00CD71E6" w:rsidRDefault="00FB51A3"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2,00</w:t>
            </w:r>
          </w:p>
        </w:tc>
        <w:tc>
          <w:tcPr>
            <w:tcW w:w="1660" w:type="dxa"/>
            <w:tcBorders>
              <w:top w:val="nil"/>
              <w:left w:val="nil"/>
              <w:bottom w:val="nil"/>
              <w:right w:val="nil"/>
            </w:tcBorders>
            <w:shd w:val="clear" w:color="auto" w:fill="auto"/>
            <w:noWrap/>
            <w:vAlign w:val="center"/>
            <w:hideMark/>
          </w:tcPr>
          <w:p w14:paraId="010A6856" w14:textId="63E84FFB" w:rsidR="00FB51A3" w:rsidRPr="00CD71E6" w:rsidRDefault="00203FB5"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w:t>
            </w:r>
          </w:p>
        </w:tc>
        <w:tc>
          <w:tcPr>
            <w:tcW w:w="1660" w:type="dxa"/>
            <w:tcBorders>
              <w:top w:val="nil"/>
              <w:left w:val="nil"/>
              <w:bottom w:val="nil"/>
              <w:right w:val="nil"/>
            </w:tcBorders>
            <w:shd w:val="clear" w:color="auto" w:fill="auto"/>
            <w:noWrap/>
            <w:vAlign w:val="center"/>
            <w:hideMark/>
          </w:tcPr>
          <w:p w14:paraId="07515A00" w14:textId="77777777" w:rsidR="00FB51A3" w:rsidRPr="00CD71E6" w:rsidRDefault="00FB51A3"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11 %</w:t>
            </w:r>
          </w:p>
        </w:tc>
      </w:tr>
      <w:tr w:rsidR="00FB51A3" w:rsidRPr="00CD71E6" w14:paraId="464EC9BA" w14:textId="77777777" w:rsidTr="00FB51A3">
        <w:trPr>
          <w:trHeight w:val="345"/>
        </w:trPr>
        <w:tc>
          <w:tcPr>
            <w:tcW w:w="3520" w:type="dxa"/>
            <w:gridSpan w:val="2"/>
            <w:tcBorders>
              <w:top w:val="single" w:sz="12" w:space="0" w:color="auto"/>
              <w:left w:val="nil"/>
              <w:bottom w:val="single" w:sz="12" w:space="0" w:color="auto"/>
              <w:right w:val="nil"/>
            </w:tcBorders>
            <w:shd w:val="clear" w:color="auto" w:fill="auto"/>
            <w:noWrap/>
            <w:vAlign w:val="center"/>
            <w:hideMark/>
          </w:tcPr>
          <w:p w14:paraId="4799BFBB" w14:textId="77777777" w:rsidR="00FB51A3" w:rsidRPr="00CD71E6" w:rsidRDefault="00FB51A3" w:rsidP="00FB51A3">
            <w:pPr>
              <w:spacing w:after="0" w:line="240" w:lineRule="auto"/>
              <w:jc w:val="right"/>
              <w:rPr>
                <w:rFonts w:eastAsia="Times New Roman"/>
                <w:b/>
                <w:bCs/>
                <w:color w:val="000000"/>
                <w:kern w:val="0"/>
                <w:sz w:val="24"/>
                <w:szCs w:val="24"/>
                <w:lang w:val="fr-CA"/>
                <w14:ligatures w14:val="none"/>
              </w:rPr>
            </w:pPr>
            <w:r w:rsidRPr="00CD71E6">
              <w:rPr>
                <w:rFonts w:eastAsia="Times New Roman"/>
                <w:b/>
                <w:bCs/>
                <w:color w:val="000000"/>
                <w:kern w:val="0"/>
                <w:sz w:val="24"/>
                <w:szCs w:val="24"/>
                <w:lang w:val="fr-CA"/>
                <w14:ligatures w14:val="none"/>
              </w:rPr>
              <w:t>Total des catégories d’emploi</w:t>
            </w:r>
          </w:p>
        </w:tc>
        <w:tc>
          <w:tcPr>
            <w:tcW w:w="1660" w:type="dxa"/>
            <w:tcBorders>
              <w:top w:val="single" w:sz="12" w:space="0" w:color="auto"/>
              <w:left w:val="nil"/>
              <w:bottom w:val="single" w:sz="12" w:space="0" w:color="auto"/>
              <w:right w:val="nil"/>
            </w:tcBorders>
            <w:shd w:val="clear" w:color="auto" w:fill="auto"/>
            <w:noWrap/>
            <w:vAlign w:val="center"/>
            <w:hideMark/>
          </w:tcPr>
          <w:p w14:paraId="705D549A" w14:textId="77777777" w:rsidR="00FB51A3" w:rsidRPr="00CD71E6" w:rsidRDefault="00FB51A3"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18,00</w:t>
            </w:r>
          </w:p>
        </w:tc>
        <w:tc>
          <w:tcPr>
            <w:tcW w:w="1660" w:type="dxa"/>
            <w:tcBorders>
              <w:top w:val="single" w:sz="12" w:space="0" w:color="auto"/>
              <w:left w:val="nil"/>
              <w:bottom w:val="single" w:sz="12" w:space="0" w:color="auto"/>
              <w:right w:val="nil"/>
            </w:tcBorders>
            <w:shd w:val="clear" w:color="auto" w:fill="auto"/>
            <w:noWrap/>
            <w:vAlign w:val="center"/>
            <w:hideMark/>
          </w:tcPr>
          <w:p w14:paraId="478398D2" w14:textId="7C15C746" w:rsidR="00FB51A3" w:rsidRPr="00CD71E6" w:rsidRDefault="00652D68"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18,00</w:t>
            </w:r>
          </w:p>
        </w:tc>
        <w:tc>
          <w:tcPr>
            <w:tcW w:w="1660" w:type="dxa"/>
            <w:tcBorders>
              <w:top w:val="single" w:sz="12" w:space="0" w:color="auto"/>
              <w:left w:val="nil"/>
              <w:bottom w:val="single" w:sz="12" w:space="0" w:color="auto"/>
              <w:right w:val="nil"/>
            </w:tcBorders>
            <w:shd w:val="clear" w:color="auto" w:fill="auto"/>
            <w:noWrap/>
            <w:vAlign w:val="center"/>
            <w:hideMark/>
          </w:tcPr>
          <w:p w14:paraId="1E8A9A51" w14:textId="77777777" w:rsidR="00FB51A3" w:rsidRPr="00CD71E6" w:rsidRDefault="00FB51A3" w:rsidP="00FB51A3">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100 %</w:t>
            </w:r>
          </w:p>
        </w:tc>
      </w:tr>
    </w:tbl>
    <w:p w14:paraId="09F64AE8" w14:textId="77777777" w:rsidR="000774CE" w:rsidRPr="00CD71E6" w:rsidRDefault="000774CE" w:rsidP="00186EC9">
      <w:pPr>
        <w:rPr>
          <w:lang w:val="fr-CA"/>
        </w:rPr>
      </w:pPr>
    </w:p>
    <w:p w14:paraId="49D698AD" w14:textId="1AB76DA6" w:rsidR="006057F8" w:rsidRPr="00CD71E6" w:rsidRDefault="00E821F9" w:rsidP="00186EC9">
      <w:pPr>
        <w:rPr>
          <w:lang w:val="fr-CA"/>
        </w:rPr>
      </w:pPr>
      <w:r w:rsidRPr="00CD71E6">
        <w:rPr>
          <w:lang w:val="fr-CA"/>
        </w:rPr>
        <w:t>Comme le taux de départs à la retraite potentiels n’est pas important dans la catégorie des paraprofessionnels, le Collège de l’Arctique du Nunavut s’emploiera plutôt à élargir l’embauchage des Inuits dans cette catégorie en dotant les vacances existantes par des candidats inuits.</w:t>
      </w:r>
    </w:p>
    <w:p w14:paraId="47AB5A8D" w14:textId="7905F6F6" w:rsidR="00DE5535" w:rsidRDefault="00E821F9" w:rsidP="00186EC9">
      <w:pPr>
        <w:rPr>
          <w:lang w:val="fr-CA"/>
        </w:rPr>
      </w:pPr>
      <w:r w:rsidRPr="00CD71E6">
        <w:rPr>
          <w:lang w:val="fr-CA"/>
        </w:rPr>
        <w:t xml:space="preserve">Finalement, dans la </w:t>
      </w:r>
      <w:r w:rsidRPr="00CD71E6">
        <w:rPr>
          <w:b/>
          <w:bCs/>
          <w:lang w:val="fr-CA"/>
        </w:rPr>
        <w:t>catégorie du soutien administratif</w:t>
      </w:r>
      <w:r w:rsidRPr="00CD71E6">
        <w:rPr>
          <w:lang w:val="fr-CA"/>
        </w:rPr>
        <w:t xml:space="preserve">, le potentiel de départs à la retraite est limité dans la tranche de 60 ans et plus, la majorité des employés du Collège se situant dans les tranches de </w:t>
      </w:r>
      <w:r w:rsidR="00B72283" w:rsidRPr="00CD71E6">
        <w:rPr>
          <w:lang w:val="fr-CA"/>
        </w:rPr>
        <w:t>30</w:t>
      </w:r>
      <w:r w:rsidR="00B72283">
        <w:rPr>
          <w:lang w:val="fr-CA"/>
        </w:rPr>
        <w:t> </w:t>
      </w:r>
      <w:r w:rsidRPr="00CD71E6">
        <w:rPr>
          <w:lang w:val="fr-CA"/>
        </w:rPr>
        <w:t>à 39 ans et de 50 à 59 ans. Donc, même si les départs à la retraite sont limités à court terme, il est possible de planifier la relève dans les objectifs à court et à long terme.</w:t>
      </w:r>
    </w:p>
    <w:p w14:paraId="4CA45334" w14:textId="77777777" w:rsidR="00DE5535" w:rsidRDefault="00DE5535">
      <w:pPr>
        <w:spacing w:after="200" w:line="276" w:lineRule="auto"/>
        <w:rPr>
          <w:lang w:val="fr-CA"/>
        </w:rPr>
      </w:pPr>
      <w:r>
        <w:rPr>
          <w:lang w:val="fr-CA"/>
        </w:rPr>
        <w:br w:type="page"/>
      </w:r>
    </w:p>
    <w:tbl>
      <w:tblPr>
        <w:tblW w:w="8532" w:type="dxa"/>
        <w:tblInd w:w="93" w:type="dxa"/>
        <w:tblLook w:val="04A0" w:firstRow="1" w:lastRow="0" w:firstColumn="1" w:lastColumn="0" w:noHBand="0" w:noVBand="1"/>
      </w:tblPr>
      <w:tblGrid>
        <w:gridCol w:w="1760"/>
        <w:gridCol w:w="1760"/>
        <w:gridCol w:w="1660"/>
        <w:gridCol w:w="1692"/>
        <w:gridCol w:w="1660"/>
      </w:tblGrid>
      <w:tr w:rsidR="006115B6" w:rsidRPr="00CD71E6" w14:paraId="3722D4CB" w14:textId="77777777" w:rsidTr="00DE5535">
        <w:trPr>
          <w:trHeight w:val="345"/>
        </w:trPr>
        <w:tc>
          <w:tcPr>
            <w:tcW w:w="1760" w:type="dxa"/>
            <w:tcBorders>
              <w:top w:val="nil"/>
              <w:left w:val="nil"/>
              <w:bottom w:val="nil"/>
              <w:right w:val="nil"/>
            </w:tcBorders>
            <w:shd w:val="clear" w:color="auto" w:fill="auto"/>
            <w:noWrap/>
            <w:vAlign w:val="bottom"/>
            <w:hideMark/>
          </w:tcPr>
          <w:p w14:paraId="4418E765" w14:textId="77777777" w:rsidR="006115B6" w:rsidRPr="00CD71E6" w:rsidRDefault="006115B6" w:rsidP="006115B6">
            <w:pPr>
              <w:spacing w:after="0" w:line="240" w:lineRule="auto"/>
              <w:rPr>
                <w:rFonts w:eastAsia="Times New Roman"/>
                <w:color w:val="000000"/>
                <w:kern w:val="0"/>
                <w:szCs w:val="22"/>
                <w:lang w:val="fr-CA"/>
                <w14:ligatures w14:val="none"/>
              </w:rPr>
            </w:pPr>
          </w:p>
        </w:tc>
        <w:tc>
          <w:tcPr>
            <w:tcW w:w="1760" w:type="dxa"/>
            <w:tcBorders>
              <w:top w:val="nil"/>
              <w:left w:val="nil"/>
              <w:bottom w:val="nil"/>
              <w:right w:val="nil"/>
            </w:tcBorders>
            <w:shd w:val="clear" w:color="auto" w:fill="auto"/>
            <w:noWrap/>
            <w:vAlign w:val="bottom"/>
            <w:hideMark/>
          </w:tcPr>
          <w:p w14:paraId="0A71DF38" w14:textId="77777777" w:rsidR="006115B6" w:rsidRPr="00CD71E6" w:rsidRDefault="006115B6" w:rsidP="006115B6">
            <w:pPr>
              <w:spacing w:after="0" w:line="240" w:lineRule="auto"/>
              <w:rPr>
                <w:rFonts w:ascii="Tw Cen MT" w:eastAsia="Times New Roman" w:hAnsi="Tw Cen MT"/>
                <w:color w:val="000000"/>
                <w:kern w:val="0"/>
                <w:sz w:val="23"/>
                <w:szCs w:val="23"/>
                <w:lang w:val="fr-CA"/>
                <w14:ligatures w14:val="none"/>
              </w:rPr>
            </w:pPr>
          </w:p>
        </w:tc>
        <w:tc>
          <w:tcPr>
            <w:tcW w:w="5012" w:type="dxa"/>
            <w:gridSpan w:val="3"/>
            <w:tcBorders>
              <w:top w:val="nil"/>
              <w:left w:val="nil"/>
              <w:bottom w:val="nil"/>
              <w:right w:val="nil"/>
            </w:tcBorders>
            <w:shd w:val="clear" w:color="000000" w:fill="000000"/>
            <w:noWrap/>
            <w:vAlign w:val="center"/>
            <w:hideMark/>
          </w:tcPr>
          <w:p w14:paraId="4D8D0C6F" w14:textId="77777777" w:rsidR="006115B6" w:rsidRPr="00CD71E6" w:rsidRDefault="006115B6" w:rsidP="00186EC9">
            <w:pPr>
              <w:keepNext/>
              <w:spacing w:after="0" w:line="240" w:lineRule="auto"/>
              <w:jc w:val="center"/>
              <w:rPr>
                <w:rFonts w:eastAsia="Times New Roman"/>
                <w:b/>
                <w:bCs/>
                <w:color w:val="FFFFFF"/>
                <w:kern w:val="0"/>
                <w:sz w:val="26"/>
                <w:szCs w:val="26"/>
                <w:lang w:val="fr-CA"/>
                <w14:ligatures w14:val="none"/>
              </w:rPr>
            </w:pPr>
            <w:r w:rsidRPr="00CD71E6">
              <w:rPr>
                <w:rFonts w:eastAsia="Times New Roman"/>
                <w:b/>
                <w:bCs/>
                <w:color w:val="FFFFFF"/>
                <w:kern w:val="0"/>
                <w:sz w:val="26"/>
                <w:szCs w:val="26"/>
                <w:lang w:val="fr-CA"/>
                <w14:ligatures w14:val="none"/>
              </w:rPr>
              <w:t>Catégorie du soutien administratif</w:t>
            </w:r>
          </w:p>
        </w:tc>
      </w:tr>
      <w:tr w:rsidR="006115B6" w:rsidRPr="00CD71E6" w14:paraId="01087D67" w14:textId="77777777" w:rsidTr="00DE5535">
        <w:trPr>
          <w:trHeight w:val="300"/>
        </w:trPr>
        <w:tc>
          <w:tcPr>
            <w:tcW w:w="1760" w:type="dxa"/>
            <w:tcBorders>
              <w:top w:val="nil"/>
              <w:left w:val="nil"/>
              <w:bottom w:val="nil"/>
              <w:right w:val="nil"/>
            </w:tcBorders>
            <w:shd w:val="clear" w:color="auto" w:fill="auto"/>
            <w:noWrap/>
            <w:vAlign w:val="bottom"/>
            <w:hideMark/>
          </w:tcPr>
          <w:p w14:paraId="4E4A3AC0" w14:textId="77777777" w:rsidR="006115B6" w:rsidRPr="00CD71E6" w:rsidRDefault="006115B6" w:rsidP="006115B6">
            <w:pPr>
              <w:spacing w:after="0" w:line="240" w:lineRule="auto"/>
              <w:rPr>
                <w:rFonts w:eastAsia="Times New Roman"/>
                <w:color w:val="000000"/>
                <w:kern w:val="0"/>
                <w:szCs w:val="22"/>
                <w:lang w:val="fr-CA"/>
                <w14:ligatures w14:val="none"/>
              </w:rPr>
            </w:pPr>
          </w:p>
        </w:tc>
        <w:tc>
          <w:tcPr>
            <w:tcW w:w="1760" w:type="dxa"/>
            <w:tcBorders>
              <w:top w:val="nil"/>
              <w:left w:val="nil"/>
              <w:bottom w:val="nil"/>
              <w:right w:val="nil"/>
            </w:tcBorders>
            <w:shd w:val="clear" w:color="auto" w:fill="auto"/>
            <w:noWrap/>
            <w:vAlign w:val="bottom"/>
            <w:hideMark/>
          </w:tcPr>
          <w:p w14:paraId="10BCAAC6" w14:textId="77777777" w:rsidR="006115B6" w:rsidRPr="00CD71E6" w:rsidRDefault="006115B6" w:rsidP="006115B6">
            <w:pPr>
              <w:spacing w:after="0" w:line="240" w:lineRule="auto"/>
              <w:rPr>
                <w:rFonts w:ascii="Tw Cen MT" w:eastAsia="Times New Roman" w:hAnsi="Tw Cen MT"/>
                <w:color w:val="000000"/>
                <w:kern w:val="0"/>
                <w:sz w:val="23"/>
                <w:szCs w:val="23"/>
                <w:lang w:val="fr-CA"/>
                <w14:ligatures w14:val="none"/>
              </w:rPr>
            </w:pPr>
          </w:p>
        </w:tc>
        <w:tc>
          <w:tcPr>
            <w:tcW w:w="1660" w:type="dxa"/>
            <w:vMerge w:val="restart"/>
            <w:tcBorders>
              <w:top w:val="nil"/>
              <w:left w:val="nil"/>
              <w:bottom w:val="nil"/>
              <w:right w:val="nil"/>
            </w:tcBorders>
            <w:shd w:val="clear" w:color="000000" w:fill="000000"/>
            <w:vAlign w:val="center"/>
            <w:hideMark/>
          </w:tcPr>
          <w:p w14:paraId="30F02B4C" w14:textId="77777777" w:rsidR="006115B6" w:rsidRPr="00CD71E6" w:rsidRDefault="006115B6" w:rsidP="006115B6">
            <w:pPr>
              <w:spacing w:after="0" w:line="240" w:lineRule="auto"/>
              <w:jc w:val="center"/>
              <w:rPr>
                <w:rFonts w:eastAsia="Times New Roman"/>
                <w:color w:val="FFFFFF"/>
                <w:kern w:val="0"/>
                <w:szCs w:val="22"/>
                <w:lang w:val="fr-CA"/>
                <w14:ligatures w14:val="none"/>
              </w:rPr>
            </w:pPr>
            <w:r w:rsidRPr="00CD71E6">
              <w:rPr>
                <w:rFonts w:eastAsia="Times New Roman"/>
                <w:color w:val="FFFFFF"/>
                <w:kern w:val="0"/>
                <w:szCs w:val="22"/>
                <w:lang w:val="fr-CA"/>
                <w14:ligatures w14:val="none"/>
              </w:rPr>
              <w:t>Total des postes (ETP)</w:t>
            </w:r>
          </w:p>
        </w:tc>
        <w:tc>
          <w:tcPr>
            <w:tcW w:w="1692" w:type="dxa"/>
            <w:vMerge w:val="restart"/>
            <w:tcBorders>
              <w:top w:val="nil"/>
              <w:left w:val="nil"/>
              <w:bottom w:val="nil"/>
              <w:right w:val="nil"/>
            </w:tcBorders>
            <w:shd w:val="clear" w:color="000000" w:fill="000000"/>
            <w:vAlign w:val="center"/>
            <w:hideMark/>
          </w:tcPr>
          <w:p w14:paraId="08B9D363" w14:textId="759B20B2" w:rsidR="006115B6" w:rsidRPr="00CD71E6" w:rsidRDefault="006115B6" w:rsidP="00186EC9">
            <w:pPr>
              <w:keepNext/>
              <w:spacing w:after="0" w:line="240" w:lineRule="auto"/>
              <w:jc w:val="center"/>
              <w:rPr>
                <w:rFonts w:eastAsia="Times New Roman"/>
                <w:color w:val="FFFFFF"/>
                <w:kern w:val="0"/>
                <w:szCs w:val="22"/>
                <w:lang w:val="fr-CA"/>
                <w14:ligatures w14:val="none"/>
              </w:rPr>
            </w:pPr>
            <w:r w:rsidRPr="00CD71E6">
              <w:rPr>
                <w:rFonts w:eastAsia="Times New Roman"/>
                <w:color w:val="FFFFFF"/>
                <w:kern w:val="0"/>
                <w:szCs w:val="22"/>
                <w:lang w:val="fr-CA"/>
                <w14:ligatures w14:val="none"/>
              </w:rPr>
              <w:t>Nombre total de postes (dénombrement des effectifs)</w:t>
            </w:r>
          </w:p>
        </w:tc>
        <w:tc>
          <w:tcPr>
            <w:tcW w:w="1660" w:type="dxa"/>
            <w:vMerge w:val="restart"/>
            <w:tcBorders>
              <w:top w:val="nil"/>
              <w:left w:val="nil"/>
              <w:bottom w:val="nil"/>
              <w:right w:val="nil"/>
            </w:tcBorders>
            <w:shd w:val="clear" w:color="000000" w:fill="000000"/>
            <w:vAlign w:val="center"/>
            <w:hideMark/>
          </w:tcPr>
          <w:p w14:paraId="5BEF2919" w14:textId="77777777" w:rsidR="006115B6" w:rsidRPr="00CD71E6" w:rsidRDefault="006115B6" w:rsidP="00186EC9">
            <w:pPr>
              <w:keepNext/>
              <w:spacing w:after="0" w:line="240" w:lineRule="auto"/>
              <w:jc w:val="center"/>
              <w:rPr>
                <w:rFonts w:eastAsia="Times New Roman"/>
                <w:color w:val="FFFFFF"/>
                <w:kern w:val="0"/>
                <w:szCs w:val="22"/>
                <w:lang w:val="fr-CA"/>
                <w14:ligatures w14:val="none"/>
              </w:rPr>
            </w:pPr>
            <w:r w:rsidRPr="00CD71E6">
              <w:rPr>
                <w:rFonts w:eastAsia="Times New Roman"/>
                <w:color w:val="FFFFFF"/>
                <w:kern w:val="0"/>
                <w:szCs w:val="22"/>
                <w:lang w:val="fr-CA"/>
                <w14:ligatures w14:val="none"/>
              </w:rPr>
              <w:t>% de la catégorie</w:t>
            </w:r>
          </w:p>
        </w:tc>
      </w:tr>
      <w:tr w:rsidR="006115B6" w:rsidRPr="00CD71E6" w14:paraId="429DC23C" w14:textId="77777777" w:rsidTr="00DE5535">
        <w:trPr>
          <w:trHeight w:val="300"/>
        </w:trPr>
        <w:tc>
          <w:tcPr>
            <w:tcW w:w="1760" w:type="dxa"/>
            <w:tcBorders>
              <w:top w:val="nil"/>
              <w:left w:val="nil"/>
              <w:bottom w:val="nil"/>
              <w:right w:val="nil"/>
            </w:tcBorders>
            <w:shd w:val="clear" w:color="auto" w:fill="auto"/>
            <w:noWrap/>
            <w:vAlign w:val="bottom"/>
            <w:hideMark/>
          </w:tcPr>
          <w:p w14:paraId="3DBF7950" w14:textId="77777777" w:rsidR="006115B6" w:rsidRPr="00CD71E6" w:rsidRDefault="006115B6" w:rsidP="006115B6">
            <w:pPr>
              <w:spacing w:after="0" w:line="240" w:lineRule="auto"/>
              <w:rPr>
                <w:rFonts w:eastAsia="Times New Roman"/>
                <w:color w:val="000000"/>
                <w:kern w:val="0"/>
                <w:szCs w:val="22"/>
                <w:lang w:val="fr-CA"/>
                <w14:ligatures w14:val="none"/>
              </w:rPr>
            </w:pPr>
          </w:p>
        </w:tc>
        <w:tc>
          <w:tcPr>
            <w:tcW w:w="1760" w:type="dxa"/>
            <w:tcBorders>
              <w:top w:val="nil"/>
              <w:left w:val="nil"/>
              <w:bottom w:val="nil"/>
              <w:right w:val="nil"/>
            </w:tcBorders>
            <w:shd w:val="clear" w:color="auto" w:fill="auto"/>
            <w:noWrap/>
            <w:vAlign w:val="bottom"/>
            <w:hideMark/>
          </w:tcPr>
          <w:p w14:paraId="759DC1EF" w14:textId="77777777" w:rsidR="006115B6" w:rsidRPr="00CD71E6" w:rsidRDefault="006115B6" w:rsidP="006115B6">
            <w:pPr>
              <w:spacing w:after="0" w:line="240" w:lineRule="auto"/>
              <w:rPr>
                <w:rFonts w:ascii="Tw Cen MT" w:eastAsia="Times New Roman" w:hAnsi="Tw Cen MT"/>
                <w:color w:val="000000"/>
                <w:kern w:val="0"/>
                <w:sz w:val="23"/>
                <w:szCs w:val="23"/>
                <w:lang w:val="fr-CA"/>
                <w14:ligatures w14:val="none"/>
              </w:rPr>
            </w:pPr>
          </w:p>
        </w:tc>
        <w:tc>
          <w:tcPr>
            <w:tcW w:w="1660" w:type="dxa"/>
            <w:vMerge/>
            <w:tcBorders>
              <w:top w:val="nil"/>
              <w:left w:val="nil"/>
              <w:bottom w:val="nil"/>
              <w:right w:val="nil"/>
            </w:tcBorders>
            <w:vAlign w:val="center"/>
            <w:hideMark/>
          </w:tcPr>
          <w:p w14:paraId="4025EB41" w14:textId="77777777" w:rsidR="006115B6" w:rsidRPr="00CD71E6" w:rsidRDefault="006115B6" w:rsidP="006115B6">
            <w:pPr>
              <w:spacing w:after="0" w:line="240" w:lineRule="auto"/>
              <w:rPr>
                <w:rFonts w:eastAsia="Times New Roman"/>
                <w:color w:val="FFFFFF"/>
                <w:kern w:val="0"/>
                <w:szCs w:val="22"/>
                <w:lang w:val="fr-CA"/>
                <w14:ligatures w14:val="none"/>
              </w:rPr>
            </w:pPr>
          </w:p>
        </w:tc>
        <w:tc>
          <w:tcPr>
            <w:tcW w:w="1692" w:type="dxa"/>
            <w:vMerge/>
            <w:tcBorders>
              <w:top w:val="nil"/>
              <w:left w:val="nil"/>
              <w:bottom w:val="nil"/>
              <w:right w:val="nil"/>
            </w:tcBorders>
            <w:vAlign w:val="center"/>
            <w:hideMark/>
          </w:tcPr>
          <w:p w14:paraId="09BEF901" w14:textId="77777777" w:rsidR="006115B6" w:rsidRPr="00CD71E6" w:rsidRDefault="006115B6" w:rsidP="006115B6">
            <w:pPr>
              <w:spacing w:after="0" w:line="240" w:lineRule="auto"/>
              <w:rPr>
                <w:rFonts w:eastAsia="Times New Roman"/>
                <w:color w:val="FFFFFF"/>
                <w:kern w:val="0"/>
                <w:szCs w:val="22"/>
                <w:lang w:val="fr-CA"/>
                <w14:ligatures w14:val="none"/>
              </w:rPr>
            </w:pPr>
          </w:p>
        </w:tc>
        <w:tc>
          <w:tcPr>
            <w:tcW w:w="1660" w:type="dxa"/>
            <w:vMerge/>
            <w:tcBorders>
              <w:top w:val="nil"/>
              <w:left w:val="nil"/>
              <w:bottom w:val="nil"/>
              <w:right w:val="nil"/>
            </w:tcBorders>
            <w:vAlign w:val="center"/>
            <w:hideMark/>
          </w:tcPr>
          <w:p w14:paraId="7E634D69" w14:textId="77777777" w:rsidR="006115B6" w:rsidRPr="00CD71E6" w:rsidRDefault="006115B6" w:rsidP="006115B6">
            <w:pPr>
              <w:spacing w:after="0" w:line="240" w:lineRule="auto"/>
              <w:rPr>
                <w:rFonts w:eastAsia="Times New Roman"/>
                <w:color w:val="FFFFFF"/>
                <w:kern w:val="0"/>
                <w:szCs w:val="22"/>
                <w:lang w:val="fr-CA"/>
                <w14:ligatures w14:val="none"/>
              </w:rPr>
            </w:pPr>
          </w:p>
        </w:tc>
      </w:tr>
      <w:tr w:rsidR="006115B6" w:rsidRPr="00CD71E6" w14:paraId="615DFFAD" w14:textId="77777777" w:rsidTr="00DE5535">
        <w:trPr>
          <w:trHeight w:val="300"/>
        </w:trPr>
        <w:tc>
          <w:tcPr>
            <w:tcW w:w="3520" w:type="dxa"/>
            <w:gridSpan w:val="2"/>
            <w:tcBorders>
              <w:top w:val="nil"/>
              <w:left w:val="nil"/>
              <w:bottom w:val="nil"/>
              <w:right w:val="nil"/>
            </w:tcBorders>
            <w:shd w:val="clear" w:color="auto" w:fill="auto"/>
            <w:noWrap/>
            <w:vAlign w:val="center"/>
            <w:hideMark/>
          </w:tcPr>
          <w:p w14:paraId="393152D6" w14:textId="77777777" w:rsidR="006115B6" w:rsidRPr="00CD71E6" w:rsidRDefault="006115B6" w:rsidP="006115B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 à 29 ans</w:t>
            </w:r>
          </w:p>
        </w:tc>
        <w:tc>
          <w:tcPr>
            <w:tcW w:w="1660" w:type="dxa"/>
            <w:tcBorders>
              <w:top w:val="nil"/>
              <w:left w:val="nil"/>
              <w:bottom w:val="nil"/>
              <w:right w:val="nil"/>
            </w:tcBorders>
            <w:shd w:val="clear" w:color="auto" w:fill="auto"/>
            <w:noWrap/>
            <w:vAlign w:val="center"/>
            <w:hideMark/>
          </w:tcPr>
          <w:p w14:paraId="3443A9D2" w14:textId="2076B636" w:rsidR="006115B6" w:rsidRPr="00CD71E6" w:rsidRDefault="00494B85"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2,00</w:t>
            </w:r>
          </w:p>
        </w:tc>
        <w:tc>
          <w:tcPr>
            <w:tcW w:w="1692" w:type="dxa"/>
            <w:tcBorders>
              <w:top w:val="nil"/>
              <w:left w:val="nil"/>
              <w:bottom w:val="nil"/>
              <w:right w:val="nil"/>
            </w:tcBorders>
            <w:shd w:val="clear" w:color="auto" w:fill="auto"/>
            <w:noWrap/>
            <w:vAlign w:val="center"/>
            <w:hideMark/>
          </w:tcPr>
          <w:p w14:paraId="22D69B1B" w14:textId="7849963A" w:rsidR="006115B6" w:rsidRPr="00CD71E6" w:rsidRDefault="00494B85"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w:t>
            </w:r>
          </w:p>
        </w:tc>
        <w:tc>
          <w:tcPr>
            <w:tcW w:w="1660" w:type="dxa"/>
            <w:tcBorders>
              <w:top w:val="nil"/>
              <w:left w:val="nil"/>
              <w:bottom w:val="nil"/>
              <w:right w:val="nil"/>
            </w:tcBorders>
            <w:shd w:val="clear" w:color="auto" w:fill="auto"/>
            <w:noWrap/>
            <w:vAlign w:val="center"/>
            <w:hideMark/>
          </w:tcPr>
          <w:p w14:paraId="1E092F08" w14:textId="3A151C64" w:rsidR="006115B6" w:rsidRPr="00CD71E6" w:rsidRDefault="00351A5C"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6 %</w:t>
            </w:r>
          </w:p>
        </w:tc>
      </w:tr>
      <w:tr w:rsidR="006115B6" w:rsidRPr="00CD71E6" w14:paraId="16F02AC4" w14:textId="77777777" w:rsidTr="00DE5535">
        <w:trPr>
          <w:trHeight w:val="300"/>
        </w:trPr>
        <w:tc>
          <w:tcPr>
            <w:tcW w:w="3520" w:type="dxa"/>
            <w:gridSpan w:val="2"/>
            <w:tcBorders>
              <w:top w:val="nil"/>
              <w:left w:val="nil"/>
              <w:bottom w:val="nil"/>
              <w:right w:val="nil"/>
            </w:tcBorders>
            <w:shd w:val="clear" w:color="auto" w:fill="auto"/>
            <w:noWrap/>
            <w:vAlign w:val="center"/>
            <w:hideMark/>
          </w:tcPr>
          <w:p w14:paraId="6E266B68" w14:textId="77777777" w:rsidR="006115B6" w:rsidRPr="00CD71E6" w:rsidRDefault="006115B6" w:rsidP="006115B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30 à 39 ans</w:t>
            </w:r>
          </w:p>
        </w:tc>
        <w:tc>
          <w:tcPr>
            <w:tcW w:w="1660" w:type="dxa"/>
            <w:tcBorders>
              <w:top w:val="nil"/>
              <w:left w:val="nil"/>
              <w:bottom w:val="nil"/>
              <w:right w:val="nil"/>
            </w:tcBorders>
            <w:shd w:val="clear" w:color="auto" w:fill="auto"/>
            <w:noWrap/>
            <w:vAlign w:val="center"/>
            <w:hideMark/>
          </w:tcPr>
          <w:p w14:paraId="52F373A2" w14:textId="2A49FC43" w:rsidR="006115B6" w:rsidRPr="00CD71E6" w:rsidRDefault="00195DBB"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13,00</w:t>
            </w:r>
          </w:p>
        </w:tc>
        <w:tc>
          <w:tcPr>
            <w:tcW w:w="1692" w:type="dxa"/>
            <w:tcBorders>
              <w:top w:val="nil"/>
              <w:left w:val="nil"/>
              <w:bottom w:val="nil"/>
              <w:right w:val="nil"/>
            </w:tcBorders>
            <w:shd w:val="clear" w:color="auto" w:fill="auto"/>
            <w:noWrap/>
            <w:vAlign w:val="center"/>
            <w:hideMark/>
          </w:tcPr>
          <w:p w14:paraId="60A7FB9F" w14:textId="5B3B1BC1" w:rsidR="006115B6" w:rsidRPr="00CD71E6" w:rsidRDefault="00195DBB"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13</w:t>
            </w:r>
          </w:p>
        </w:tc>
        <w:tc>
          <w:tcPr>
            <w:tcW w:w="1660" w:type="dxa"/>
            <w:tcBorders>
              <w:top w:val="nil"/>
              <w:left w:val="nil"/>
              <w:bottom w:val="nil"/>
              <w:right w:val="nil"/>
            </w:tcBorders>
            <w:shd w:val="clear" w:color="auto" w:fill="auto"/>
            <w:noWrap/>
            <w:vAlign w:val="center"/>
            <w:hideMark/>
          </w:tcPr>
          <w:p w14:paraId="276CE093" w14:textId="05A4A212" w:rsidR="006115B6" w:rsidRPr="00CD71E6" w:rsidRDefault="00351A5C"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42 %</w:t>
            </w:r>
          </w:p>
        </w:tc>
      </w:tr>
      <w:tr w:rsidR="006115B6" w:rsidRPr="00CD71E6" w14:paraId="47FF7B78" w14:textId="77777777" w:rsidTr="00DE5535">
        <w:trPr>
          <w:trHeight w:val="300"/>
        </w:trPr>
        <w:tc>
          <w:tcPr>
            <w:tcW w:w="3520" w:type="dxa"/>
            <w:gridSpan w:val="2"/>
            <w:tcBorders>
              <w:top w:val="nil"/>
              <w:left w:val="nil"/>
              <w:bottom w:val="nil"/>
              <w:right w:val="nil"/>
            </w:tcBorders>
            <w:shd w:val="clear" w:color="auto" w:fill="auto"/>
            <w:noWrap/>
            <w:vAlign w:val="center"/>
            <w:hideMark/>
          </w:tcPr>
          <w:p w14:paraId="16A55FFF" w14:textId="77777777" w:rsidR="006115B6" w:rsidRPr="00CD71E6" w:rsidRDefault="006115B6" w:rsidP="006115B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40 à 49 ans</w:t>
            </w:r>
          </w:p>
        </w:tc>
        <w:tc>
          <w:tcPr>
            <w:tcW w:w="1660" w:type="dxa"/>
            <w:tcBorders>
              <w:top w:val="nil"/>
              <w:left w:val="nil"/>
              <w:bottom w:val="nil"/>
              <w:right w:val="nil"/>
            </w:tcBorders>
            <w:shd w:val="clear" w:color="auto" w:fill="auto"/>
            <w:noWrap/>
            <w:vAlign w:val="center"/>
            <w:hideMark/>
          </w:tcPr>
          <w:p w14:paraId="6160755A" w14:textId="17EA2FAF" w:rsidR="006115B6" w:rsidRPr="00CD71E6" w:rsidRDefault="00E0621D"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5,00</w:t>
            </w:r>
          </w:p>
        </w:tc>
        <w:tc>
          <w:tcPr>
            <w:tcW w:w="1692" w:type="dxa"/>
            <w:tcBorders>
              <w:top w:val="nil"/>
              <w:left w:val="nil"/>
              <w:bottom w:val="nil"/>
              <w:right w:val="nil"/>
            </w:tcBorders>
            <w:shd w:val="clear" w:color="auto" w:fill="auto"/>
            <w:noWrap/>
            <w:vAlign w:val="center"/>
            <w:hideMark/>
          </w:tcPr>
          <w:p w14:paraId="4C82F4FB" w14:textId="0E340752" w:rsidR="006115B6" w:rsidRPr="00CD71E6" w:rsidRDefault="00E0621D"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5</w:t>
            </w:r>
          </w:p>
        </w:tc>
        <w:tc>
          <w:tcPr>
            <w:tcW w:w="1660" w:type="dxa"/>
            <w:tcBorders>
              <w:top w:val="nil"/>
              <w:left w:val="nil"/>
              <w:bottom w:val="nil"/>
              <w:right w:val="nil"/>
            </w:tcBorders>
            <w:shd w:val="clear" w:color="auto" w:fill="auto"/>
            <w:noWrap/>
            <w:vAlign w:val="center"/>
            <w:hideMark/>
          </w:tcPr>
          <w:p w14:paraId="56FD219D" w14:textId="7D0997D9" w:rsidR="006115B6" w:rsidRPr="00CD71E6" w:rsidRDefault="00351A5C"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16 %</w:t>
            </w:r>
          </w:p>
        </w:tc>
      </w:tr>
      <w:tr w:rsidR="006115B6" w:rsidRPr="00CD71E6" w14:paraId="71C2794B" w14:textId="77777777" w:rsidTr="00DE5535">
        <w:trPr>
          <w:trHeight w:val="300"/>
        </w:trPr>
        <w:tc>
          <w:tcPr>
            <w:tcW w:w="3520" w:type="dxa"/>
            <w:gridSpan w:val="2"/>
            <w:tcBorders>
              <w:top w:val="nil"/>
              <w:left w:val="nil"/>
              <w:bottom w:val="nil"/>
              <w:right w:val="nil"/>
            </w:tcBorders>
            <w:shd w:val="clear" w:color="auto" w:fill="auto"/>
            <w:noWrap/>
            <w:vAlign w:val="center"/>
            <w:hideMark/>
          </w:tcPr>
          <w:p w14:paraId="2F3098F7" w14:textId="77777777" w:rsidR="006115B6" w:rsidRPr="00CD71E6" w:rsidRDefault="006115B6" w:rsidP="006115B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50 à 59 ans</w:t>
            </w:r>
          </w:p>
        </w:tc>
        <w:tc>
          <w:tcPr>
            <w:tcW w:w="1660" w:type="dxa"/>
            <w:tcBorders>
              <w:top w:val="nil"/>
              <w:left w:val="nil"/>
              <w:bottom w:val="nil"/>
              <w:right w:val="nil"/>
            </w:tcBorders>
            <w:shd w:val="clear" w:color="auto" w:fill="auto"/>
            <w:noWrap/>
            <w:vAlign w:val="center"/>
            <w:hideMark/>
          </w:tcPr>
          <w:p w14:paraId="7669048F" w14:textId="74134F79" w:rsidR="006115B6" w:rsidRPr="00CD71E6" w:rsidRDefault="00111B94"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7,00</w:t>
            </w:r>
          </w:p>
        </w:tc>
        <w:tc>
          <w:tcPr>
            <w:tcW w:w="1692" w:type="dxa"/>
            <w:tcBorders>
              <w:top w:val="nil"/>
              <w:left w:val="nil"/>
              <w:bottom w:val="nil"/>
              <w:right w:val="nil"/>
            </w:tcBorders>
            <w:shd w:val="clear" w:color="auto" w:fill="auto"/>
            <w:noWrap/>
            <w:vAlign w:val="center"/>
            <w:hideMark/>
          </w:tcPr>
          <w:p w14:paraId="35E0D112" w14:textId="23DCC7AD" w:rsidR="006115B6" w:rsidRPr="00CD71E6" w:rsidRDefault="00111B94"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7</w:t>
            </w:r>
          </w:p>
        </w:tc>
        <w:tc>
          <w:tcPr>
            <w:tcW w:w="1660" w:type="dxa"/>
            <w:tcBorders>
              <w:top w:val="nil"/>
              <w:left w:val="nil"/>
              <w:bottom w:val="nil"/>
              <w:right w:val="nil"/>
            </w:tcBorders>
            <w:shd w:val="clear" w:color="auto" w:fill="auto"/>
            <w:noWrap/>
            <w:vAlign w:val="center"/>
            <w:hideMark/>
          </w:tcPr>
          <w:p w14:paraId="0CC16168" w14:textId="67E4EEEB" w:rsidR="006115B6" w:rsidRPr="00CD71E6" w:rsidRDefault="00902116"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23 %</w:t>
            </w:r>
          </w:p>
        </w:tc>
      </w:tr>
      <w:tr w:rsidR="006115B6" w:rsidRPr="00CD71E6" w14:paraId="2217D17F" w14:textId="77777777" w:rsidTr="00DE5535">
        <w:trPr>
          <w:trHeight w:val="315"/>
        </w:trPr>
        <w:tc>
          <w:tcPr>
            <w:tcW w:w="3520" w:type="dxa"/>
            <w:gridSpan w:val="2"/>
            <w:tcBorders>
              <w:top w:val="nil"/>
              <w:left w:val="nil"/>
              <w:bottom w:val="nil"/>
              <w:right w:val="nil"/>
            </w:tcBorders>
            <w:shd w:val="clear" w:color="auto" w:fill="auto"/>
            <w:noWrap/>
            <w:vAlign w:val="center"/>
            <w:hideMark/>
          </w:tcPr>
          <w:p w14:paraId="4CB41A05" w14:textId="77777777" w:rsidR="006115B6" w:rsidRPr="00CD71E6" w:rsidRDefault="006115B6" w:rsidP="006115B6">
            <w:pPr>
              <w:spacing w:after="0" w:line="240" w:lineRule="auto"/>
              <w:jc w:val="right"/>
              <w:rPr>
                <w:rFonts w:eastAsia="Times New Roman"/>
                <w:color w:val="000000"/>
                <w:kern w:val="0"/>
                <w:szCs w:val="22"/>
                <w:lang w:val="fr-CA"/>
                <w14:ligatures w14:val="none"/>
              </w:rPr>
            </w:pPr>
            <w:r w:rsidRPr="00CD71E6">
              <w:rPr>
                <w:rFonts w:eastAsia="Times New Roman"/>
                <w:color w:val="000000"/>
                <w:kern w:val="0"/>
                <w:szCs w:val="22"/>
                <w:lang w:val="fr-CA"/>
                <w14:ligatures w14:val="none"/>
              </w:rPr>
              <w:t>60 ans et plus</w:t>
            </w:r>
          </w:p>
        </w:tc>
        <w:tc>
          <w:tcPr>
            <w:tcW w:w="1660" w:type="dxa"/>
            <w:tcBorders>
              <w:top w:val="nil"/>
              <w:left w:val="nil"/>
              <w:bottom w:val="nil"/>
              <w:right w:val="nil"/>
            </w:tcBorders>
            <w:shd w:val="clear" w:color="auto" w:fill="auto"/>
            <w:noWrap/>
            <w:vAlign w:val="center"/>
            <w:hideMark/>
          </w:tcPr>
          <w:p w14:paraId="345721AF" w14:textId="54AE9A9E" w:rsidR="006115B6" w:rsidRPr="00CD71E6" w:rsidRDefault="00803B73"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4,00</w:t>
            </w:r>
          </w:p>
        </w:tc>
        <w:tc>
          <w:tcPr>
            <w:tcW w:w="1692" w:type="dxa"/>
            <w:tcBorders>
              <w:top w:val="nil"/>
              <w:left w:val="nil"/>
              <w:bottom w:val="nil"/>
              <w:right w:val="nil"/>
            </w:tcBorders>
            <w:shd w:val="clear" w:color="auto" w:fill="auto"/>
            <w:noWrap/>
            <w:vAlign w:val="center"/>
            <w:hideMark/>
          </w:tcPr>
          <w:p w14:paraId="0DB417AF" w14:textId="496E72CB" w:rsidR="006115B6" w:rsidRPr="00CD71E6" w:rsidRDefault="00803B73"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4</w:t>
            </w:r>
          </w:p>
        </w:tc>
        <w:tc>
          <w:tcPr>
            <w:tcW w:w="1660" w:type="dxa"/>
            <w:tcBorders>
              <w:top w:val="nil"/>
              <w:left w:val="nil"/>
              <w:bottom w:val="nil"/>
              <w:right w:val="nil"/>
            </w:tcBorders>
            <w:shd w:val="clear" w:color="auto" w:fill="auto"/>
            <w:noWrap/>
            <w:vAlign w:val="center"/>
            <w:hideMark/>
          </w:tcPr>
          <w:p w14:paraId="50FD57A2" w14:textId="2D36B5F5" w:rsidR="006115B6" w:rsidRPr="00CD71E6" w:rsidRDefault="00902116"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13 %</w:t>
            </w:r>
          </w:p>
        </w:tc>
      </w:tr>
      <w:tr w:rsidR="006115B6" w:rsidRPr="00CD71E6" w14:paraId="2AB9A184" w14:textId="77777777" w:rsidTr="00DE5535">
        <w:trPr>
          <w:trHeight w:val="345"/>
        </w:trPr>
        <w:tc>
          <w:tcPr>
            <w:tcW w:w="3520" w:type="dxa"/>
            <w:gridSpan w:val="2"/>
            <w:tcBorders>
              <w:top w:val="single" w:sz="12" w:space="0" w:color="auto"/>
              <w:left w:val="nil"/>
              <w:bottom w:val="single" w:sz="12" w:space="0" w:color="auto"/>
              <w:right w:val="nil"/>
            </w:tcBorders>
            <w:shd w:val="clear" w:color="auto" w:fill="auto"/>
            <w:noWrap/>
            <w:vAlign w:val="center"/>
            <w:hideMark/>
          </w:tcPr>
          <w:p w14:paraId="06CCC158" w14:textId="77777777" w:rsidR="006115B6" w:rsidRPr="00CD71E6" w:rsidRDefault="006115B6" w:rsidP="006115B6">
            <w:pPr>
              <w:spacing w:after="0" w:line="240" w:lineRule="auto"/>
              <w:jc w:val="right"/>
              <w:rPr>
                <w:rFonts w:eastAsia="Times New Roman"/>
                <w:b/>
                <w:bCs/>
                <w:color w:val="000000"/>
                <w:kern w:val="0"/>
                <w:sz w:val="24"/>
                <w:szCs w:val="24"/>
                <w:lang w:val="fr-CA"/>
                <w14:ligatures w14:val="none"/>
              </w:rPr>
            </w:pPr>
            <w:r w:rsidRPr="00CD71E6">
              <w:rPr>
                <w:rFonts w:eastAsia="Times New Roman"/>
                <w:b/>
                <w:bCs/>
                <w:color w:val="000000"/>
                <w:kern w:val="0"/>
                <w:sz w:val="24"/>
                <w:szCs w:val="24"/>
                <w:lang w:val="fr-CA"/>
                <w14:ligatures w14:val="none"/>
              </w:rPr>
              <w:t>Total des catégories d’emploi</w:t>
            </w:r>
          </w:p>
        </w:tc>
        <w:tc>
          <w:tcPr>
            <w:tcW w:w="1660" w:type="dxa"/>
            <w:tcBorders>
              <w:top w:val="single" w:sz="12" w:space="0" w:color="auto"/>
              <w:left w:val="nil"/>
              <w:bottom w:val="single" w:sz="12" w:space="0" w:color="auto"/>
              <w:right w:val="nil"/>
            </w:tcBorders>
            <w:shd w:val="clear" w:color="auto" w:fill="auto"/>
            <w:noWrap/>
            <w:vAlign w:val="center"/>
            <w:hideMark/>
          </w:tcPr>
          <w:p w14:paraId="7821F607" w14:textId="26EF342C" w:rsidR="006115B6" w:rsidRPr="00CD71E6" w:rsidRDefault="00DE6B37"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31,00</w:t>
            </w:r>
          </w:p>
        </w:tc>
        <w:tc>
          <w:tcPr>
            <w:tcW w:w="1692" w:type="dxa"/>
            <w:tcBorders>
              <w:top w:val="single" w:sz="12" w:space="0" w:color="auto"/>
              <w:left w:val="nil"/>
              <w:bottom w:val="single" w:sz="12" w:space="0" w:color="auto"/>
              <w:right w:val="nil"/>
            </w:tcBorders>
            <w:shd w:val="clear" w:color="auto" w:fill="auto"/>
            <w:noWrap/>
            <w:vAlign w:val="center"/>
            <w:hideMark/>
          </w:tcPr>
          <w:p w14:paraId="49E85910" w14:textId="41B1505B" w:rsidR="006115B6" w:rsidRPr="00CD71E6" w:rsidRDefault="00DE6B37"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31</w:t>
            </w:r>
          </w:p>
        </w:tc>
        <w:tc>
          <w:tcPr>
            <w:tcW w:w="1660" w:type="dxa"/>
            <w:tcBorders>
              <w:top w:val="single" w:sz="12" w:space="0" w:color="auto"/>
              <w:left w:val="nil"/>
              <w:bottom w:val="single" w:sz="12" w:space="0" w:color="auto"/>
              <w:right w:val="nil"/>
            </w:tcBorders>
            <w:shd w:val="clear" w:color="auto" w:fill="auto"/>
            <w:noWrap/>
            <w:vAlign w:val="center"/>
            <w:hideMark/>
          </w:tcPr>
          <w:p w14:paraId="71AD91A7" w14:textId="77777777" w:rsidR="006115B6" w:rsidRPr="00CD71E6" w:rsidRDefault="006115B6" w:rsidP="006115B6">
            <w:pPr>
              <w:spacing w:after="0" w:line="240" w:lineRule="auto"/>
              <w:jc w:val="center"/>
              <w:rPr>
                <w:rFonts w:eastAsia="Times New Roman"/>
                <w:color w:val="000000"/>
                <w:kern w:val="0"/>
                <w:szCs w:val="22"/>
                <w:lang w:val="fr-CA"/>
                <w14:ligatures w14:val="none"/>
              </w:rPr>
            </w:pPr>
            <w:r w:rsidRPr="00CD71E6">
              <w:rPr>
                <w:rFonts w:eastAsia="Times New Roman"/>
                <w:color w:val="000000"/>
                <w:kern w:val="0"/>
                <w:szCs w:val="22"/>
                <w:lang w:val="fr-CA"/>
                <w14:ligatures w14:val="none"/>
              </w:rPr>
              <w:t>100 %</w:t>
            </w:r>
          </w:p>
        </w:tc>
      </w:tr>
    </w:tbl>
    <w:p w14:paraId="77B58E69" w14:textId="348E29D8" w:rsidR="005B49E0" w:rsidRPr="00CD71E6" w:rsidRDefault="006115B6" w:rsidP="00186EC9">
      <w:pPr>
        <w:rPr>
          <w:lang w:val="fr-CA"/>
        </w:rPr>
      </w:pPr>
      <w:r w:rsidRPr="00CD71E6">
        <w:rPr>
          <w:lang w:val="fr-CA"/>
        </w:rPr>
        <w:br/>
        <w:t>Comme le marché du travail appuie déjà bien la catégorie du soutien administratif, le Collège a l’intention de pourvoir les vacances à venir en recourant à des concours restreints et en observant la politique de priorité d’embauche.</w:t>
      </w:r>
    </w:p>
    <w:p w14:paraId="403C37BD" w14:textId="3E8C3A4E" w:rsidR="00ED7F10" w:rsidRPr="00CD71E6" w:rsidRDefault="00ED7F10" w:rsidP="00ED7F10">
      <w:pPr>
        <w:pStyle w:val="Heading3"/>
        <w:rPr>
          <w:lang w:val="fr-CA"/>
        </w:rPr>
      </w:pPr>
      <w:bookmarkStart w:id="76" w:name="_Toc41053724"/>
      <w:r w:rsidRPr="00CD71E6">
        <w:rPr>
          <w:bCs/>
          <w:lang w:val="fr-CA"/>
        </w:rPr>
        <w:t>Partenariat collège-université</w:t>
      </w:r>
      <w:bookmarkEnd w:id="76"/>
    </w:p>
    <w:p w14:paraId="186F49AF" w14:textId="5718E0B5" w:rsidR="005B0C0C" w:rsidRPr="00CD71E6" w:rsidRDefault="005B0C0C" w:rsidP="002C4C9D">
      <w:pPr>
        <w:rPr>
          <w:lang w:val="fr-CA"/>
        </w:rPr>
      </w:pPr>
      <w:r w:rsidRPr="00CD71E6">
        <w:rPr>
          <w:lang w:val="fr-CA"/>
        </w:rPr>
        <w:t xml:space="preserve">L’un des objectifs du plan d’activités du Collège de l’Arctique du Nunavut pour l’exercice financier </w:t>
      </w:r>
      <w:r w:rsidR="00DE5535">
        <w:rPr>
          <w:lang w:val="fr-CA"/>
        </w:rPr>
        <w:br/>
      </w:r>
      <w:r w:rsidRPr="00CD71E6">
        <w:rPr>
          <w:lang w:val="fr-CA"/>
        </w:rPr>
        <w:t xml:space="preserve">2018-2019 est la mise en place d’un protocole d’entente avec un partenaire universitaire actuellement non déterminé. </w:t>
      </w:r>
    </w:p>
    <w:p w14:paraId="508E9FD1" w14:textId="37343562" w:rsidR="00403D80" w:rsidRPr="00CD71E6" w:rsidRDefault="00403D80" w:rsidP="002C4C9D">
      <w:pPr>
        <w:rPr>
          <w:lang w:val="fr-CA"/>
        </w:rPr>
      </w:pPr>
      <w:r w:rsidRPr="00CD71E6">
        <w:rPr>
          <w:lang w:val="fr-CA"/>
        </w:rPr>
        <w:t>En août 2017, donnant suite à une demande du Cabinet, une équipe mixte composée de représentants du Collège de l’Arctique du Nunavut et du ministère de l’Éducation a publié une déclaration d’intérêt encourageant les universités canadiennes souhaitant conclure un partenariat collège-université à se manifester. Le but de ce partenariat était d’améliorer la qualité de l’enseignement supérieur et l’accès à celui-ci sur le territoire du Nunavut.</w:t>
      </w:r>
    </w:p>
    <w:p w14:paraId="00DBB7FB" w14:textId="70717264" w:rsidR="005C3B84" w:rsidRPr="00CD71E6" w:rsidRDefault="00403D80" w:rsidP="002C4C9D">
      <w:pPr>
        <w:rPr>
          <w:lang w:val="fr-CA"/>
        </w:rPr>
      </w:pPr>
      <w:r w:rsidRPr="00CD71E6">
        <w:rPr>
          <w:lang w:val="fr-CA"/>
        </w:rPr>
        <w:t xml:space="preserve">En janvier 2018, un comité de sélection composé de représentants du Collège de l’Arctique du Nunavut, le ministère de l’Éducation et Nunavut Tunngavik Inc. a évalué 11 réponses à la déclaration d’intérêt et </w:t>
      </w:r>
      <w:r w:rsidR="00DE5535">
        <w:rPr>
          <w:lang w:val="fr-CA"/>
        </w:rPr>
        <w:br/>
      </w:r>
      <w:r w:rsidRPr="00CD71E6">
        <w:rPr>
          <w:lang w:val="fr-CA"/>
        </w:rPr>
        <w:t>a réalisé six entrevues pour déterminer la pertinence des candidats. En mars 2018, deux établissements étaient considérés comme les principaux prétendants dans le processus, et, suivant une décision unanime du comité de sélection, l’Université Memorial de Terre-Neuve-et-Labrador a été recommandée comme meilleure candidate pour un partenariat avec le Collège de l’Arctique du Nunavut.</w:t>
      </w:r>
    </w:p>
    <w:p w14:paraId="0A21527D" w14:textId="7392AD4C" w:rsidR="005B0C0C" w:rsidRPr="00CD71E6" w:rsidRDefault="005C3B84" w:rsidP="002C4C9D">
      <w:pPr>
        <w:rPr>
          <w:lang w:val="fr-CA"/>
        </w:rPr>
      </w:pPr>
      <w:r w:rsidRPr="00CD71E6">
        <w:rPr>
          <w:lang w:val="fr-CA"/>
        </w:rPr>
        <w:t xml:space="preserve">À la suite de négociations entre l’Université Memorial et le Collège de l’Arctique du Nunavut, une entente de partenariat finale a été conclue en mai 2019 et un comité de partenariat permanent a été créé pour superviser tous les aspects du partenariat, y compris la prestation des programmes visant à accroître l’embauchage des Inuits au Collège, ainsi qu’au sein des organismes publics intervenants et des ministères du gouvernement du Nunavut. </w:t>
      </w:r>
    </w:p>
    <w:p w14:paraId="7E8C1CCD" w14:textId="77777777" w:rsidR="00B72283" w:rsidRDefault="00B72283">
      <w:pPr>
        <w:spacing w:after="200" w:line="276" w:lineRule="auto"/>
        <w:rPr>
          <w:lang w:val="fr-CA"/>
        </w:rPr>
      </w:pPr>
      <w:r>
        <w:rPr>
          <w:lang w:val="fr-CA"/>
        </w:rPr>
        <w:br w:type="page"/>
      </w:r>
    </w:p>
    <w:p w14:paraId="31F490BB" w14:textId="4FFED708" w:rsidR="00BA072E" w:rsidRPr="00CD71E6" w:rsidRDefault="00403D80" w:rsidP="002C4C9D">
      <w:pPr>
        <w:rPr>
          <w:lang w:val="fr-CA"/>
        </w:rPr>
      </w:pPr>
      <w:r w:rsidRPr="00CD71E6">
        <w:rPr>
          <w:lang w:val="fr-CA"/>
        </w:rPr>
        <w:lastRenderedPageBreak/>
        <w:t>Une des principales composantes du protocole sera le renforcement des capacités au Collège, notamment en matière de croissance du corps professoral, de leadership et de perfectionnement professionnel. Ainsi, le partenariat collège-université représente une occasion unique pour le Collège d’élargir les ressources externes auxquelles il a accès. Ces ressources seront intégrées dans les futures initiatives d’embauche des Inuits par le Collège, et contribueront vraisemblablement grandement à la négociation d’accords de programmes et de services.</w:t>
      </w:r>
    </w:p>
    <w:p w14:paraId="48A45257" w14:textId="77777777" w:rsidR="000774CE" w:rsidRPr="00CD71E6" w:rsidRDefault="000774CE" w:rsidP="000774CE">
      <w:pPr>
        <w:pStyle w:val="Heading3"/>
        <w:rPr>
          <w:lang w:val="fr-CA"/>
        </w:rPr>
      </w:pPr>
      <w:bookmarkStart w:id="77" w:name="_Toc41053725"/>
      <w:r w:rsidRPr="00CD71E6">
        <w:rPr>
          <w:bCs/>
          <w:lang w:val="fr-CA"/>
        </w:rPr>
        <w:t>Programmes de diplômes postsecondaires additionnels</w:t>
      </w:r>
      <w:bookmarkEnd w:id="77"/>
    </w:p>
    <w:p w14:paraId="62F7A5F3" w14:textId="77777777" w:rsidR="000774CE" w:rsidRPr="00CD71E6" w:rsidRDefault="000774CE" w:rsidP="000774CE">
      <w:pPr>
        <w:rPr>
          <w:lang w:val="fr-CA"/>
        </w:rPr>
      </w:pPr>
      <w:r w:rsidRPr="00CD71E6">
        <w:rPr>
          <w:lang w:val="fr-CA"/>
        </w:rPr>
        <w:t xml:space="preserve">Une possibilité à envisager dans l’avenir est l’intérêt du gouvernement du Nunavut et du Collège de l’Arctique du Nunavut de s’associer avec une ou plusieurs universités pour offrir des programmes de diplômes postsecondaires additionnels au Nunavut. Cela signifie du personnel additionnel au CAN et une occasion d’accroître la base de compétences requise au sein de la base d’années-personnes du CAN (ainsi qu’au sein des postes du GN dans son ensemble). On prévoit que d’ici 2021, le CAN offrira de nouveaux programmes de diplôme chaque année jusqu’en 2027. </w:t>
      </w:r>
    </w:p>
    <w:p w14:paraId="51A64D05" w14:textId="77777777" w:rsidR="000774CE" w:rsidRPr="00CD71E6" w:rsidRDefault="000774CE" w:rsidP="000774CE">
      <w:pPr>
        <w:rPr>
          <w:lang w:val="fr-CA"/>
        </w:rPr>
      </w:pPr>
      <w:r w:rsidRPr="00CD71E6">
        <w:rPr>
          <w:lang w:val="fr-CA"/>
        </w:rPr>
        <w:t>L’analyse de cette possibilité laisse présager des hausses du nombre d’années-personnes au CAN d’ici 2023. Cette possibilité s’avère appropriée pour accroître l’embauchage des Inuits, mais le CAN a déjà déterminé qu’il s’agira d’un obstacle dans l’avenir, puisque les postes nécessiteront un diplôme universitaire ou une grande expérience professionnelle.</w:t>
      </w:r>
    </w:p>
    <w:p w14:paraId="60CB7628" w14:textId="77777777" w:rsidR="008018D7" w:rsidRPr="00CD71E6" w:rsidRDefault="008018D7">
      <w:pPr>
        <w:spacing w:after="200" w:line="276" w:lineRule="auto"/>
        <w:rPr>
          <w:rFonts w:ascii="Arial" w:hAnsi="Arial"/>
          <w:caps/>
          <w:color w:val="775F55" w:themeColor="text2"/>
          <w:sz w:val="36"/>
          <w:szCs w:val="32"/>
          <w:lang w:val="fr-CA"/>
        </w:rPr>
      </w:pPr>
      <w:r w:rsidRPr="00CD71E6">
        <w:rPr>
          <w:lang w:val="fr-CA"/>
        </w:rPr>
        <w:br w:type="page"/>
      </w:r>
    </w:p>
    <w:p w14:paraId="0E61364B" w14:textId="0CA9594B" w:rsidR="00260E24" w:rsidRPr="00CD71E6" w:rsidRDefault="00DE5535" w:rsidP="00260E24">
      <w:pPr>
        <w:pStyle w:val="Heading1"/>
        <w:rPr>
          <w:lang w:val="fr-CA"/>
        </w:rPr>
      </w:pPr>
      <w:bookmarkStart w:id="78" w:name="_Toc41053726"/>
      <w:r>
        <w:rPr>
          <w:lang w:val="fr-CA"/>
        </w:rPr>
        <w:lastRenderedPageBreak/>
        <w:t>Chapitre 5 : Objectifs</w:t>
      </w:r>
      <w:r w:rsidR="00D120D3" w:rsidRPr="00CD71E6">
        <w:rPr>
          <w:lang w:val="fr-CA"/>
        </w:rPr>
        <w:t xml:space="preserve"> en matière d’embauchage des Inuits</w:t>
      </w:r>
      <w:bookmarkEnd w:id="78"/>
    </w:p>
    <w:p w14:paraId="426CA55A" w14:textId="131F01AE" w:rsidR="00260E24" w:rsidRPr="00CD71E6" w:rsidRDefault="001504F0" w:rsidP="00E65DD8">
      <w:pPr>
        <w:pStyle w:val="IntenseQuote"/>
        <w:rPr>
          <w:lang w:val="fr-CA"/>
        </w:rPr>
      </w:pPr>
      <w:r w:rsidRPr="00CD71E6">
        <w:rPr>
          <w:bCs/>
          <w:lang w:val="fr-CA"/>
        </w:rPr>
        <w:t>Le présent chapitre résume les objectifs à long, à moyen et à court terme du Collège en matière d’embauchage des Inuits.</w:t>
      </w:r>
    </w:p>
    <w:p w14:paraId="4CA1FF1F" w14:textId="77777777" w:rsidR="00C1036A" w:rsidRPr="00CD71E6" w:rsidRDefault="00C1036A" w:rsidP="00C1036A">
      <w:pPr>
        <w:pStyle w:val="Heading2"/>
        <w:rPr>
          <w:lang w:val="fr-CA"/>
        </w:rPr>
      </w:pPr>
      <w:bookmarkStart w:id="79" w:name="_Toc41053727"/>
      <w:bookmarkStart w:id="80" w:name="_Hlk12636016"/>
      <w:r w:rsidRPr="00CD71E6">
        <w:rPr>
          <w:bCs/>
          <w:lang w:val="fr-CA"/>
        </w:rPr>
        <w:t>Concernant les objectifs et les cibles d’embauchage des Inuits</w:t>
      </w:r>
      <w:bookmarkEnd w:id="79"/>
    </w:p>
    <w:p w14:paraId="7DC5313C" w14:textId="77777777" w:rsidR="00C1036A" w:rsidRPr="00CD71E6" w:rsidRDefault="00C1036A" w:rsidP="00C1036A">
      <w:pPr>
        <w:pStyle w:val="Heading3"/>
        <w:rPr>
          <w:lang w:val="fr-CA"/>
        </w:rPr>
      </w:pPr>
      <w:bookmarkStart w:id="81" w:name="_Toc41053728"/>
      <w:r w:rsidRPr="00CD71E6">
        <w:rPr>
          <w:bCs/>
          <w:lang w:val="fr-CA"/>
        </w:rPr>
        <w:t>Définitions</w:t>
      </w:r>
      <w:bookmarkEnd w:id="81"/>
    </w:p>
    <w:p w14:paraId="10FEB6FF" w14:textId="57D34904" w:rsidR="00C1036A" w:rsidRPr="00CD71E6" w:rsidRDefault="00C1036A" w:rsidP="00C1036A">
      <w:pPr>
        <w:rPr>
          <w:i/>
          <w:lang w:val="fr-CA"/>
        </w:rPr>
      </w:pPr>
      <w:r w:rsidRPr="00CD71E6">
        <w:rPr>
          <w:lang w:val="fr-CA"/>
        </w:rPr>
        <w:t>L’</w:t>
      </w:r>
      <w:r w:rsidRPr="00CD71E6">
        <w:rPr>
          <w:b/>
          <w:bCs/>
          <w:lang w:val="fr-CA"/>
        </w:rPr>
        <w:t>objectif d’embauchage des Inuits</w:t>
      </w:r>
      <w:r w:rsidRPr="00CD71E6">
        <w:rPr>
          <w:lang w:val="fr-CA"/>
        </w:rPr>
        <w:t xml:space="preserve"> correspond au nombre total d’employés inuits (en équivalent à temps plein, ou « ÉTP ») que l’employeur prévoit d’avoir à son service à un moment désigné. Les objectifs sont assortis du taux de représentation inuite estimé (% d’employés inuits) que le ministère </w:t>
      </w:r>
      <w:r w:rsidR="00DE5535">
        <w:rPr>
          <w:lang w:val="fr-CA"/>
        </w:rPr>
        <w:br/>
      </w:r>
      <w:r w:rsidRPr="00CD71E6">
        <w:rPr>
          <w:lang w:val="fr-CA"/>
        </w:rPr>
        <w:t xml:space="preserve">ou la société territoriale prévoit d’atteindre au moment désigné. </w:t>
      </w:r>
      <w:r w:rsidRPr="00CD71E6">
        <w:rPr>
          <w:i/>
          <w:iCs/>
          <w:lang w:val="fr-CA"/>
        </w:rPr>
        <w:t>L’objectif correspond au nombre d’employés inuits, non au taux de représentation inuite.</w:t>
      </w:r>
    </w:p>
    <w:p w14:paraId="16BF1334" w14:textId="77777777" w:rsidR="00C1036A" w:rsidRPr="00CD71E6" w:rsidRDefault="00C1036A" w:rsidP="00C1036A">
      <w:pPr>
        <w:rPr>
          <w:i/>
          <w:lang w:val="fr-CA"/>
        </w:rPr>
      </w:pPr>
      <w:r w:rsidRPr="00CD71E6">
        <w:rPr>
          <w:lang w:val="fr-CA"/>
        </w:rPr>
        <w:t xml:space="preserve">Une </w:t>
      </w:r>
      <w:r w:rsidRPr="00CD71E6">
        <w:rPr>
          <w:b/>
          <w:bCs/>
          <w:lang w:val="fr-CA"/>
        </w:rPr>
        <w:t>cible d’embauchage des Inuits</w:t>
      </w:r>
      <w:r w:rsidRPr="00CD71E6">
        <w:rPr>
          <w:lang w:val="fr-CA"/>
        </w:rPr>
        <w:t xml:space="preserve"> est la prévision du nombre d’employés inuits (en ETP) qui seront employés dans une catégorie d’emploi à un certain point. Les cibles sont assorties du taux de représentation inuite estimé (% d’employés inuits) que le ministère ou la société territoriale prévoit d’atteindre au moment désigné. </w:t>
      </w:r>
      <w:r w:rsidRPr="00CD71E6">
        <w:rPr>
          <w:i/>
          <w:iCs/>
          <w:lang w:val="fr-CA"/>
        </w:rPr>
        <w:t>La cible est le nombre d’employés inuits, et non le taux de représentation inuite.</w:t>
      </w:r>
    </w:p>
    <w:p w14:paraId="3B507F11" w14:textId="77777777" w:rsidR="00C1036A" w:rsidRPr="00CD71E6" w:rsidRDefault="00C1036A" w:rsidP="00C1036A">
      <w:pPr>
        <w:rPr>
          <w:i/>
          <w:lang w:val="fr-CA"/>
        </w:rPr>
      </w:pPr>
      <w:r w:rsidRPr="00CD71E6">
        <w:rPr>
          <w:lang w:val="fr-CA"/>
        </w:rPr>
        <w:t xml:space="preserve">Le </w:t>
      </w:r>
      <w:r w:rsidRPr="00CD71E6">
        <w:rPr>
          <w:b/>
          <w:bCs/>
          <w:lang w:val="fr-CA"/>
        </w:rPr>
        <w:t>taux de représentation inuite</w:t>
      </w:r>
      <w:r w:rsidRPr="00CD71E6">
        <w:rPr>
          <w:lang w:val="fr-CA"/>
        </w:rPr>
        <w:t xml:space="preserve"> estimatif correspond au pourcentage (%) d’employés inuits rattaché à un objectif ou à une cible. Les taux de représentation inuite ne peuvent être qu’estimatifs, car leur calcul dépend de facteurs extrêmement variables, comme le nombre total de postes (en ÉTP) et le nombre de postes pourvus, ou la capacité, à un moment désigné. La représentation inuite est influencée par le taux de croissance du nombre de postes du GN, ainsi que par les fluctuations de sa capacité. </w:t>
      </w:r>
      <w:r w:rsidRPr="00CD71E6">
        <w:rPr>
          <w:i/>
          <w:iCs/>
          <w:lang w:val="fr-CA"/>
        </w:rPr>
        <w:t>C’est pourquoi l’estimation du taux de représentation inuite ne devrait pas être considérée comme un objectif ou une cible.</w:t>
      </w:r>
    </w:p>
    <w:p w14:paraId="1A278C77" w14:textId="77777777" w:rsidR="00C1036A" w:rsidRPr="00CD71E6" w:rsidRDefault="00C1036A" w:rsidP="00C1036A">
      <w:pPr>
        <w:pStyle w:val="Heading3"/>
        <w:rPr>
          <w:lang w:val="fr-CA"/>
        </w:rPr>
      </w:pPr>
      <w:bookmarkStart w:id="82" w:name="_Toc41053729"/>
      <w:r w:rsidRPr="00CD71E6">
        <w:rPr>
          <w:bCs/>
          <w:lang w:val="fr-CA"/>
        </w:rPr>
        <w:t>Facteurs influant les objectifs et les cibles des plans d’embauchage des Inuits</w:t>
      </w:r>
      <w:bookmarkEnd w:id="82"/>
    </w:p>
    <w:p w14:paraId="7A446A2C" w14:textId="77777777" w:rsidR="00C1036A" w:rsidRPr="00CD71E6" w:rsidRDefault="00C1036A" w:rsidP="00C1036A">
      <w:pPr>
        <w:rPr>
          <w:lang w:val="fr-CA"/>
        </w:rPr>
      </w:pPr>
      <w:r w:rsidRPr="00CD71E6">
        <w:rPr>
          <w:lang w:val="fr-CA"/>
        </w:rPr>
        <w:t>Les ministères et les sociétés territoriales établissent leurs objectifs et leurs cibles d’embauchage des Inuits en tenant compte de facteurs d’offre et de demande en matière de main-d’œuvre dans l’ensemble du Nunavut et dans les localités où se trouvent leurs bureaux. Parmi les facteurs, notons :</w:t>
      </w:r>
    </w:p>
    <w:p w14:paraId="2DAA1BFD" w14:textId="0D271EF0" w:rsidR="00C1036A" w:rsidRPr="00CD71E6" w:rsidRDefault="00C1036A" w:rsidP="0094062C">
      <w:pPr>
        <w:pStyle w:val="ListParagraph"/>
        <w:numPr>
          <w:ilvl w:val="0"/>
          <w:numId w:val="23"/>
        </w:numPr>
        <w:rPr>
          <w:lang w:val="fr-CA"/>
        </w:rPr>
      </w:pPr>
      <w:r w:rsidRPr="00CD71E6">
        <w:rPr>
          <w:lang w:val="fr-CA"/>
        </w:rPr>
        <w:t xml:space="preserve">la disponibilité, l’intérêt et l’état de préparation des Inuits pour des postes gouvernementaux selon les données produites dans le </w:t>
      </w:r>
      <w:r w:rsidRPr="00B01B52">
        <w:rPr>
          <w:i/>
          <w:lang w:val="fr-CA"/>
        </w:rPr>
        <w:t>Rapport d’analyse de la population active inuite du Nunavut</w:t>
      </w:r>
      <w:r w:rsidRPr="00CD71E6">
        <w:rPr>
          <w:lang w:val="fr-CA"/>
        </w:rPr>
        <w:t xml:space="preserve"> et les résumés afférents préparés par le GN;</w:t>
      </w:r>
    </w:p>
    <w:p w14:paraId="72007214" w14:textId="77777777" w:rsidR="00C1036A" w:rsidRPr="00CD71E6" w:rsidRDefault="00C1036A" w:rsidP="0094062C">
      <w:pPr>
        <w:pStyle w:val="ListParagraph"/>
        <w:numPr>
          <w:ilvl w:val="0"/>
          <w:numId w:val="23"/>
        </w:numPr>
        <w:rPr>
          <w:lang w:val="fr-CA"/>
        </w:rPr>
      </w:pPr>
      <w:r w:rsidRPr="00CD71E6">
        <w:rPr>
          <w:lang w:val="fr-CA"/>
        </w:rPr>
        <w:t>l’évolution des tendances en ce qui concerne le nombre d’Inuits susceptibles d’être qualifiés à ce moment-là pour les postes disponibles ou les postes à forte demande;</w:t>
      </w:r>
    </w:p>
    <w:p w14:paraId="162559D0" w14:textId="77777777" w:rsidR="00C1036A" w:rsidRPr="00CD71E6" w:rsidRDefault="00C1036A" w:rsidP="0094062C">
      <w:pPr>
        <w:pStyle w:val="ListParagraph"/>
        <w:numPr>
          <w:ilvl w:val="0"/>
          <w:numId w:val="23"/>
        </w:numPr>
        <w:rPr>
          <w:lang w:val="fr-CA"/>
        </w:rPr>
      </w:pPr>
      <w:r w:rsidRPr="00CD71E6">
        <w:rPr>
          <w:lang w:val="fr-CA"/>
        </w:rPr>
        <w:lastRenderedPageBreak/>
        <w:t>l’évolution des tendances en ce qui concerne le nombre d’Inuits susceptibles d’avoir, avec le temps, les qualifications pour les postes disponibles ou les postes à forte demande;</w:t>
      </w:r>
    </w:p>
    <w:p w14:paraId="31F32D72" w14:textId="77777777" w:rsidR="00C1036A" w:rsidRPr="00CD71E6" w:rsidRDefault="00C1036A" w:rsidP="0094062C">
      <w:pPr>
        <w:pStyle w:val="ListParagraph"/>
        <w:numPr>
          <w:ilvl w:val="0"/>
          <w:numId w:val="23"/>
        </w:numPr>
        <w:rPr>
          <w:lang w:val="fr-CA"/>
        </w:rPr>
      </w:pPr>
      <w:r w:rsidRPr="00CD71E6">
        <w:rPr>
          <w:lang w:val="fr-CA"/>
        </w:rPr>
        <w:t>la compétition pour l’embauche d’Inuits qualifiés au sein du GN et chez d’autres employeurs au sein du territoire;</w:t>
      </w:r>
    </w:p>
    <w:p w14:paraId="592340AF" w14:textId="77777777" w:rsidR="00C1036A" w:rsidRPr="00CD71E6" w:rsidRDefault="00C1036A" w:rsidP="0094062C">
      <w:pPr>
        <w:pStyle w:val="ListParagraph"/>
        <w:numPr>
          <w:ilvl w:val="0"/>
          <w:numId w:val="23"/>
        </w:numPr>
        <w:rPr>
          <w:lang w:val="fr-CA"/>
        </w:rPr>
      </w:pPr>
      <w:r w:rsidRPr="00CD71E6">
        <w:rPr>
          <w:lang w:val="fr-CA"/>
        </w:rPr>
        <w:t>les tendances récentes en matière de dotation et de recrutement du personnel au GN;</w:t>
      </w:r>
    </w:p>
    <w:p w14:paraId="38756459" w14:textId="77777777" w:rsidR="00C1036A" w:rsidRPr="00CD71E6" w:rsidRDefault="00C1036A" w:rsidP="0094062C">
      <w:pPr>
        <w:pStyle w:val="ListParagraph"/>
        <w:numPr>
          <w:ilvl w:val="0"/>
          <w:numId w:val="23"/>
        </w:numPr>
        <w:rPr>
          <w:lang w:val="fr-CA"/>
        </w:rPr>
      </w:pPr>
      <w:r w:rsidRPr="00CD71E6">
        <w:rPr>
          <w:lang w:val="fr-CA"/>
        </w:rPr>
        <w:t>les exigences opérationnelles ainsi que les budgets et les postes approuvés (années-personnes, ou AP);</w:t>
      </w:r>
    </w:p>
    <w:p w14:paraId="0A977DF5" w14:textId="77777777" w:rsidR="00C1036A" w:rsidRPr="00CD71E6" w:rsidRDefault="00C1036A" w:rsidP="0094062C">
      <w:pPr>
        <w:pStyle w:val="ListParagraph"/>
        <w:numPr>
          <w:ilvl w:val="0"/>
          <w:numId w:val="23"/>
        </w:numPr>
        <w:rPr>
          <w:lang w:val="fr-CA"/>
        </w:rPr>
      </w:pPr>
      <w:r w:rsidRPr="00CD71E6">
        <w:rPr>
          <w:lang w:val="fr-CA"/>
        </w:rPr>
        <w:t>les postes à pourvoir et les taux de roulement projetés au sein du ministère ou de la société.</w:t>
      </w:r>
    </w:p>
    <w:p w14:paraId="70C7C863" w14:textId="77777777" w:rsidR="00C1036A" w:rsidRPr="00CD71E6" w:rsidRDefault="00C1036A" w:rsidP="00C1036A">
      <w:pPr>
        <w:pStyle w:val="Heading3"/>
        <w:rPr>
          <w:lang w:val="fr-CA"/>
        </w:rPr>
      </w:pPr>
      <w:bookmarkStart w:id="83" w:name="_Toc41053730"/>
      <w:r w:rsidRPr="00CD71E6">
        <w:rPr>
          <w:bCs/>
          <w:lang w:val="fr-CA"/>
        </w:rPr>
        <w:t>Objectifs annuels à court, à moyen et à long terme</w:t>
      </w:r>
      <w:bookmarkEnd w:id="83"/>
    </w:p>
    <w:p w14:paraId="3B5F7A7F" w14:textId="77777777" w:rsidR="00C1036A" w:rsidRPr="00CD71E6" w:rsidRDefault="00C1036A" w:rsidP="00C1036A">
      <w:pPr>
        <w:rPr>
          <w:lang w:val="fr-CA"/>
        </w:rPr>
      </w:pPr>
      <w:r w:rsidRPr="00CD71E6">
        <w:rPr>
          <w:lang w:val="fr-CA"/>
        </w:rPr>
        <w:t>Les plans ministériels d’embauchage des Inuits à l’horizon 2023 comportent des objectifs et des cibles d’embauchage des Inuits :</w:t>
      </w:r>
    </w:p>
    <w:p w14:paraId="58EB2FC7" w14:textId="77777777" w:rsidR="00C1036A" w:rsidRPr="00CD71E6" w:rsidRDefault="00C1036A" w:rsidP="0094062C">
      <w:pPr>
        <w:pStyle w:val="ListParagraph"/>
        <w:numPr>
          <w:ilvl w:val="0"/>
          <w:numId w:val="25"/>
        </w:numPr>
        <w:rPr>
          <w:lang w:val="fr-CA"/>
        </w:rPr>
      </w:pPr>
      <w:r w:rsidRPr="00CD71E6">
        <w:rPr>
          <w:lang w:val="fr-CA"/>
        </w:rPr>
        <w:t xml:space="preserve">à court terme (d’ici mars 2020); </w:t>
      </w:r>
    </w:p>
    <w:p w14:paraId="5194D6BC" w14:textId="77777777" w:rsidR="00C1036A" w:rsidRPr="00CD71E6" w:rsidRDefault="00C1036A" w:rsidP="0094062C">
      <w:pPr>
        <w:pStyle w:val="ListParagraph"/>
        <w:numPr>
          <w:ilvl w:val="0"/>
          <w:numId w:val="25"/>
        </w:numPr>
        <w:rPr>
          <w:lang w:val="fr-CA"/>
        </w:rPr>
      </w:pPr>
      <w:r w:rsidRPr="00CD71E6">
        <w:rPr>
          <w:lang w:val="fr-CA"/>
        </w:rPr>
        <w:t xml:space="preserve">à moyen terme (d’ici mars 2023); </w:t>
      </w:r>
    </w:p>
    <w:p w14:paraId="55FEC449" w14:textId="77777777" w:rsidR="00C1036A" w:rsidRPr="00CD71E6" w:rsidRDefault="00C1036A" w:rsidP="0094062C">
      <w:pPr>
        <w:pStyle w:val="ListParagraph"/>
        <w:numPr>
          <w:ilvl w:val="0"/>
          <w:numId w:val="25"/>
        </w:numPr>
        <w:rPr>
          <w:lang w:val="fr-CA"/>
        </w:rPr>
      </w:pPr>
      <w:r w:rsidRPr="00CD71E6">
        <w:rPr>
          <w:lang w:val="fr-CA"/>
        </w:rPr>
        <w:t xml:space="preserve">à long terme (après 2023, sur une période de dix ans à compter de 2017). </w:t>
      </w:r>
    </w:p>
    <w:p w14:paraId="29BD0421" w14:textId="77777777" w:rsidR="00C1036A" w:rsidRPr="00CD71E6" w:rsidRDefault="00C1036A" w:rsidP="00C1036A">
      <w:pPr>
        <w:rPr>
          <w:lang w:val="fr-CA"/>
        </w:rPr>
      </w:pPr>
      <w:r w:rsidRPr="00CD71E6">
        <w:rPr>
          <w:lang w:val="fr-CA"/>
        </w:rPr>
        <w:t xml:space="preserve">Les plans d’embauchage des Inuits comprennent par ailleurs un plan d’action sommaire pour l’atteinte des objectifs à court et à moyen terme. </w:t>
      </w:r>
    </w:p>
    <w:p w14:paraId="53543723" w14:textId="4675A92B" w:rsidR="00C1036A" w:rsidRPr="00CD71E6" w:rsidRDefault="00C1036A" w:rsidP="00C1036A">
      <w:pPr>
        <w:rPr>
          <w:lang w:val="fr-CA"/>
        </w:rPr>
      </w:pPr>
      <w:r w:rsidRPr="00CD71E6">
        <w:rPr>
          <w:lang w:val="fr-CA"/>
        </w:rPr>
        <w:t xml:space="preserve">Lorsque les ministères et les sociétés fixent leurs objectifs et leurs cibles à court, à moyen et à long terme, ils ne peuvent pas dépasser le nombre de postes approuvés (AP) de chaque catégorie d’emplois en date du plan d’embauchage des Inuits. </w:t>
      </w:r>
    </w:p>
    <w:p w14:paraId="60D408B0" w14:textId="77777777" w:rsidR="00C1036A" w:rsidRPr="00CD71E6" w:rsidRDefault="00C1036A" w:rsidP="00C1036A">
      <w:pPr>
        <w:rPr>
          <w:lang w:val="fr-CA"/>
        </w:rPr>
      </w:pPr>
      <w:r w:rsidRPr="00CD71E6">
        <w:rPr>
          <w:lang w:val="fr-CA"/>
        </w:rPr>
        <w:t xml:space="preserve">Les objectifs, les cibles et les points à prioriser établis annuellement font encore partie des plans d’activités ministériels et organisationnels. Ces plans d’embauchage des Inuits annuels comprennent des objectifs et des cibles d’embauchage des Inuits pour un an ainsi que des mesures de priorisation pour les trois ans couverts par le plan d’activités. Les plans d’embauchage des Inuits annuels sont des plans continus mis à jour annuellement au cours des cycles de planification opérationnelle et d’élaboration du budget principal des dépenses. </w:t>
      </w:r>
    </w:p>
    <w:p w14:paraId="415E3303" w14:textId="77777777" w:rsidR="00C1036A" w:rsidRPr="00CD71E6" w:rsidRDefault="00C1036A" w:rsidP="00C1036A">
      <w:pPr>
        <w:rPr>
          <w:lang w:val="fr-CA"/>
        </w:rPr>
      </w:pPr>
      <w:r w:rsidRPr="00CD71E6">
        <w:rPr>
          <w:lang w:val="fr-CA"/>
        </w:rPr>
        <w:t xml:space="preserve">Ces plans doivent cadrer avec les plans ministériels d’embauchage des Inuits à l’horizon 2023, ainsi qu’avec l’orientation stratégique du GN en matière d’embauchage des Inuits. </w:t>
      </w:r>
    </w:p>
    <w:p w14:paraId="55D7C338" w14:textId="77777777" w:rsidR="00C1036A" w:rsidRPr="00CD71E6" w:rsidRDefault="00C1036A" w:rsidP="00C1036A">
      <w:pPr>
        <w:rPr>
          <w:lang w:val="fr-CA"/>
        </w:rPr>
      </w:pPr>
      <w:r w:rsidRPr="00CD71E6">
        <w:rPr>
          <w:lang w:val="fr-CA"/>
        </w:rPr>
        <w:t>Les cibles et les objectifs annuels peuvent différer de ceux des plans ministériels d’embauchage des Inuits à l’horizon 2023 puisqu’ils sont établis en fonction de facteurs actuels comme :</w:t>
      </w:r>
    </w:p>
    <w:p w14:paraId="51691FF9" w14:textId="77777777" w:rsidR="00C1036A" w:rsidRPr="00CD71E6" w:rsidRDefault="00C1036A" w:rsidP="0094062C">
      <w:pPr>
        <w:pStyle w:val="ListParagraph"/>
        <w:numPr>
          <w:ilvl w:val="0"/>
          <w:numId w:val="24"/>
        </w:numPr>
        <w:rPr>
          <w:lang w:val="fr-CA"/>
        </w:rPr>
      </w:pPr>
      <w:r w:rsidRPr="00CD71E6">
        <w:rPr>
          <w:lang w:val="fr-CA"/>
        </w:rPr>
        <w:t>les changements approuvés quant au nombre de postes (AP) ou au budget opérationnel;</w:t>
      </w:r>
    </w:p>
    <w:p w14:paraId="48FC6B1F" w14:textId="77777777" w:rsidR="00C1036A" w:rsidRPr="00CD71E6" w:rsidRDefault="00C1036A" w:rsidP="0094062C">
      <w:pPr>
        <w:pStyle w:val="ListParagraph"/>
        <w:numPr>
          <w:ilvl w:val="0"/>
          <w:numId w:val="24"/>
        </w:numPr>
        <w:rPr>
          <w:lang w:val="fr-CA"/>
        </w:rPr>
      </w:pPr>
      <w:r w:rsidRPr="00CD71E6">
        <w:rPr>
          <w:lang w:val="fr-CA"/>
        </w:rPr>
        <w:t>les changements approuvés dans la structure organisationnelle;</w:t>
      </w:r>
    </w:p>
    <w:p w14:paraId="16A67209" w14:textId="77777777" w:rsidR="00C1036A" w:rsidRPr="00CD71E6" w:rsidRDefault="00C1036A" w:rsidP="0094062C">
      <w:pPr>
        <w:pStyle w:val="ListParagraph"/>
        <w:numPr>
          <w:ilvl w:val="0"/>
          <w:numId w:val="24"/>
        </w:numPr>
        <w:rPr>
          <w:lang w:val="fr-CA"/>
        </w:rPr>
      </w:pPr>
      <w:r w:rsidRPr="00CD71E6">
        <w:rPr>
          <w:lang w:val="fr-CA"/>
        </w:rPr>
        <w:t xml:space="preserve">les éléments opérationnels à prioriser approuvés; </w:t>
      </w:r>
    </w:p>
    <w:p w14:paraId="0A717AB8" w14:textId="77777777" w:rsidR="00C1036A" w:rsidRPr="00CD71E6" w:rsidRDefault="00C1036A" w:rsidP="0094062C">
      <w:pPr>
        <w:pStyle w:val="ListParagraph"/>
        <w:numPr>
          <w:ilvl w:val="0"/>
          <w:numId w:val="24"/>
        </w:numPr>
        <w:rPr>
          <w:lang w:val="fr-CA"/>
        </w:rPr>
      </w:pPr>
      <w:r w:rsidRPr="00CD71E6">
        <w:rPr>
          <w:lang w:val="fr-CA"/>
        </w:rPr>
        <w:t>les postes actuellement vacants;</w:t>
      </w:r>
    </w:p>
    <w:p w14:paraId="3E7DA834" w14:textId="77777777" w:rsidR="00C1036A" w:rsidRPr="00CD71E6" w:rsidRDefault="00C1036A" w:rsidP="0094062C">
      <w:pPr>
        <w:pStyle w:val="ListParagraph"/>
        <w:numPr>
          <w:ilvl w:val="0"/>
          <w:numId w:val="24"/>
        </w:numPr>
        <w:rPr>
          <w:lang w:val="fr-CA"/>
        </w:rPr>
      </w:pPr>
      <w:r w:rsidRPr="00CD71E6">
        <w:rPr>
          <w:lang w:val="fr-CA"/>
        </w:rPr>
        <w:t xml:space="preserve">les postes susceptibles d’être bientôt vacants. </w:t>
      </w:r>
    </w:p>
    <w:p w14:paraId="75AAB80A" w14:textId="77777777" w:rsidR="00C1036A" w:rsidRPr="00CD71E6" w:rsidRDefault="00C1036A" w:rsidP="00C1036A">
      <w:pPr>
        <w:pStyle w:val="Heading2"/>
        <w:keepNext/>
        <w:pageBreakBefore/>
        <w:rPr>
          <w:bCs/>
          <w:lang w:val="fr-CA"/>
        </w:rPr>
      </w:pPr>
      <w:bookmarkStart w:id="84" w:name="_Toc41053731"/>
      <w:bookmarkEnd w:id="80"/>
      <w:r w:rsidRPr="00CD71E6">
        <w:rPr>
          <w:bCs/>
          <w:lang w:val="fr-CA"/>
        </w:rPr>
        <w:lastRenderedPageBreak/>
        <w:t>Objectifs et cibles à court terme</w:t>
      </w:r>
      <w:bookmarkEnd w:id="84"/>
    </w:p>
    <w:p w14:paraId="31636014" w14:textId="77777777" w:rsidR="00C1036A" w:rsidRPr="00CD71E6" w:rsidRDefault="00C1036A" w:rsidP="00C1036A">
      <w:pPr>
        <w:keepNext/>
        <w:rPr>
          <w:rFonts w:eastAsia="Tw Cen MT"/>
          <w:lang w:val="fr-CA"/>
        </w:rPr>
      </w:pPr>
      <w:bookmarkStart w:id="85" w:name="_Hlk12637969"/>
      <w:r w:rsidRPr="00CD71E6">
        <w:rPr>
          <w:rFonts w:eastAsia="Tw Cen MT"/>
          <w:lang w:val="fr-CA"/>
        </w:rPr>
        <w:t xml:space="preserve">Les objectifs à court terme s’échelonnent sur une période de trois ans à compter de 2017, soit jusqu’à mars 2020. </w:t>
      </w:r>
    </w:p>
    <w:tbl>
      <w:tblPr>
        <w:tblStyle w:val="LightList"/>
        <w:tblW w:w="9719" w:type="dxa"/>
        <w:tblLook w:val="04A0" w:firstRow="1" w:lastRow="0" w:firstColumn="1" w:lastColumn="0" w:noHBand="0" w:noVBand="1"/>
      </w:tblPr>
      <w:tblGrid>
        <w:gridCol w:w="4859"/>
        <w:gridCol w:w="4860"/>
      </w:tblGrid>
      <w:tr w:rsidR="00C1036A" w:rsidRPr="00CD71E6" w14:paraId="75640717" w14:textId="77777777" w:rsidTr="00C14CE6">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859" w:type="dxa"/>
            <w:vAlign w:val="center"/>
          </w:tcPr>
          <w:bookmarkEnd w:id="85"/>
          <w:p w14:paraId="47811100" w14:textId="42454C85" w:rsidR="00C1036A" w:rsidRPr="00CD71E6" w:rsidRDefault="00617D18" w:rsidP="00617D18">
            <w:pPr>
              <w:spacing w:after="0" w:line="240" w:lineRule="auto"/>
              <w:rPr>
                <w:sz w:val="24"/>
                <w:lang w:val="fr-CA"/>
              </w:rPr>
            </w:pPr>
            <w:r w:rsidRPr="00CD71E6">
              <w:rPr>
                <w:sz w:val="24"/>
                <w:lang w:val="fr-CA"/>
              </w:rPr>
              <w:t>OBJECTIF À COURT TERME</w:t>
            </w:r>
          </w:p>
        </w:tc>
        <w:tc>
          <w:tcPr>
            <w:tcW w:w="4860" w:type="dxa"/>
            <w:vAlign w:val="center"/>
          </w:tcPr>
          <w:p w14:paraId="3D761081" w14:textId="77777777" w:rsidR="00C1036A" w:rsidRPr="00CD71E6" w:rsidRDefault="00C1036A" w:rsidP="00617D18">
            <w:pPr>
              <w:spacing w:after="0" w:line="240" w:lineRule="auto"/>
              <w:cnfStyle w:val="100000000000" w:firstRow="1" w:lastRow="0" w:firstColumn="0" w:lastColumn="0" w:oddVBand="0" w:evenVBand="0" w:oddHBand="0" w:evenHBand="0" w:firstRowFirstColumn="0" w:firstRowLastColumn="0" w:lastRowFirstColumn="0" w:lastRowLastColumn="0"/>
              <w:rPr>
                <w:sz w:val="24"/>
                <w:lang w:val="fr-CA"/>
              </w:rPr>
            </w:pPr>
            <w:r w:rsidRPr="00CD71E6">
              <w:rPr>
                <w:sz w:val="24"/>
                <w:lang w:val="fr-CA"/>
              </w:rPr>
              <w:t>RÉSULTATS ESCOMPTÉS</w:t>
            </w:r>
          </w:p>
        </w:tc>
      </w:tr>
      <w:tr w:rsidR="00C1036A" w:rsidRPr="00B01B52" w14:paraId="7FA8D792" w14:textId="77777777" w:rsidTr="00C14CE6">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4859" w:type="dxa"/>
          </w:tcPr>
          <w:p w14:paraId="19710295" w14:textId="3ECE6487" w:rsidR="00C1036A" w:rsidRPr="00CD71E6" w:rsidRDefault="00C1036A" w:rsidP="006949CD">
            <w:pPr>
              <w:spacing w:line="240" w:lineRule="auto"/>
              <w:rPr>
                <w:szCs w:val="22"/>
                <w:lang w:val="fr-CA"/>
              </w:rPr>
            </w:pPr>
            <w:r w:rsidRPr="00CD71E6">
              <w:rPr>
                <w:szCs w:val="22"/>
                <w:lang w:val="fr-CA"/>
              </w:rPr>
              <w:t xml:space="preserve">D’ici mars 2020, le CAN accroîtra la représentation inuite à 56 % en : </w:t>
            </w:r>
          </w:p>
          <w:p w14:paraId="1F7CC01C" w14:textId="77777777" w:rsidR="00C1036A" w:rsidRPr="00CD71E6" w:rsidRDefault="00C1036A" w:rsidP="0094062C">
            <w:pPr>
              <w:pStyle w:val="ListParagraph"/>
              <w:numPr>
                <w:ilvl w:val="0"/>
                <w:numId w:val="11"/>
              </w:numPr>
              <w:spacing w:after="0" w:line="240" w:lineRule="auto"/>
              <w:ind w:left="360"/>
              <w:rPr>
                <w:b w:val="0"/>
                <w:szCs w:val="22"/>
                <w:lang w:val="fr-CA"/>
              </w:rPr>
            </w:pPr>
            <w:r w:rsidRPr="00CD71E6">
              <w:rPr>
                <w:b w:val="0"/>
                <w:bCs w:val="0"/>
                <w:szCs w:val="22"/>
                <w:lang w:val="fr-CA"/>
              </w:rPr>
              <w:t>Maximisant les possibilités d’emploi offertes aux Inuits dans toutes les catégories.</w:t>
            </w:r>
          </w:p>
        </w:tc>
        <w:tc>
          <w:tcPr>
            <w:tcW w:w="4860" w:type="dxa"/>
          </w:tcPr>
          <w:p w14:paraId="1EA1C2BC" w14:textId="09AF2A8D" w:rsidR="006949CD" w:rsidRPr="00CD71E6" w:rsidRDefault="006949CD" w:rsidP="006949CD">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des professionnels à 37.</w:t>
            </w:r>
          </w:p>
          <w:p w14:paraId="3EB87892" w14:textId="07B03B63" w:rsidR="006949CD" w:rsidRPr="00CD71E6" w:rsidRDefault="006949CD" w:rsidP="006949CD">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des paraprofessionnels à 11.</w:t>
            </w:r>
          </w:p>
          <w:p w14:paraId="05DCB8C3" w14:textId="332886D2" w:rsidR="00C1036A" w:rsidRPr="00CD71E6" w:rsidRDefault="006949CD" w:rsidP="006949CD">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du soutien administratif à 28.</w:t>
            </w:r>
          </w:p>
        </w:tc>
      </w:tr>
    </w:tbl>
    <w:tbl>
      <w:tblPr>
        <w:tblpPr w:leftFromText="180" w:rightFromText="180" w:vertAnchor="text" w:horzAnchor="margin" w:tblpY="933"/>
        <w:tblW w:w="9720" w:type="dxa"/>
        <w:tblLook w:val="04A0" w:firstRow="1" w:lastRow="0" w:firstColumn="1" w:lastColumn="0" w:noHBand="0" w:noVBand="1"/>
      </w:tblPr>
      <w:tblGrid>
        <w:gridCol w:w="1308"/>
        <w:gridCol w:w="501"/>
        <w:gridCol w:w="1197"/>
        <w:gridCol w:w="1071"/>
        <w:gridCol w:w="945"/>
        <w:gridCol w:w="1296"/>
        <w:gridCol w:w="1161"/>
        <w:gridCol w:w="945"/>
        <w:gridCol w:w="1296"/>
      </w:tblGrid>
      <w:tr w:rsidR="00C1036A" w:rsidRPr="00CD71E6" w14:paraId="2ECE6AE5" w14:textId="77777777" w:rsidTr="00B01B52">
        <w:trPr>
          <w:trHeight w:val="331"/>
        </w:trPr>
        <w:tc>
          <w:tcPr>
            <w:tcW w:w="1308" w:type="dxa"/>
            <w:tcBorders>
              <w:top w:val="single" w:sz="2" w:space="0" w:color="auto"/>
              <w:left w:val="single" w:sz="2" w:space="0" w:color="auto"/>
              <w:bottom w:val="single" w:sz="2" w:space="0" w:color="auto"/>
            </w:tcBorders>
            <w:shd w:val="clear" w:color="000000" w:fill="000000"/>
            <w:noWrap/>
            <w:vAlign w:val="center"/>
            <w:hideMark/>
          </w:tcPr>
          <w:p w14:paraId="0B62E7DD" w14:textId="77777777" w:rsidR="00C1036A" w:rsidRPr="00CD71E6" w:rsidRDefault="00C1036A" w:rsidP="00C7654E">
            <w:pPr>
              <w:spacing w:after="0" w:line="240" w:lineRule="auto"/>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 </w:t>
            </w:r>
          </w:p>
        </w:tc>
        <w:tc>
          <w:tcPr>
            <w:tcW w:w="501" w:type="dxa"/>
            <w:tcBorders>
              <w:top w:val="single" w:sz="2" w:space="0" w:color="auto"/>
              <w:bottom w:val="single" w:sz="2" w:space="0" w:color="auto"/>
            </w:tcBorders>
            <w:shd w:val="clear" w:color="000000" w:fill="000000"/>
            <w:noWrap/>
            <w:vAlign w:val="center"/>
            <w:hideMark/>
          </w:tcPr>
          <w:p w14:paraId="6C65CB72" w14:textId="606B1109" w:rsidR="00C1036A" w:rsidRPr="00CD71E6" w:rsidRDefault="00C1036A" w:rsidP="00C7654E">
            <w:pPr>
              <w:spacing w:after="0" w:line="240" w:lineRule="auto"/>
              <w:rPr>
                <w:rFonts w:eastAsia="Times New Roman"/>
                <w:b/>
                <w:bCs/>
                <w:color w:val="FFFFFF"/>
                <w:kern w:val="0"/>
                <w:szCs w:val="22"/>
                <w:lang w:val="fr-CA"/>
                <w14:ligatures w14:val="none"/>
              </w:rPr>
            </w:pPr>
          </w:p>
        </w:tc>
        <w:tc>
          <w:tcPr>
            <w:tcW w:w="4509" w:type="dxa"/>
            <w:gridSpan w:val="4"/>
            <w:tcBorders>
              <w:top w:val="single" w:sz="2" w:space="0" w:color="auto"/>
              <w:bottom w:val="single" w:sz="2" w:space="0" w:color="auto"/>
            </w:tcBorders>
            <w:shd w:val="clear" w:color="000000" w:fill="000000"/>
            <w:noWrap/>
            <w:vAlign w:val="center"/>
            <w:hideMark/>
          </w:tcPr>
          <w:p w14:paraId="183ABD2B" w14:textId="0F7739FD" w:rsidR="00C1036A" w:rsidRPr="00CD71E6" w:rsidRDefault="00C1036A" w:rsidP="00C7654E">
            <w:pPr>
              <w:spacing w:after="0" w:line="240" w:lineRule="auto"/>
              <w:jc w:val="center"/>
              <w:rPr>
                <w:rFonts w:eastAsia="Times New Roman"/>
                <w:b/>
                <w:bCs/>
                <w:color w:val="FFFFFF"/>
                <w:kern w:val="0"/>
                <w:sz w:val="24"/>
                <w:szCs w:val="24"/>
                <w:lang w:val="fr-CA"/>
                <w14:ligatures w14:val="none"/>
              </w:rPr>
            </w:pPr>
            <w:r w:rsidRPr="00CD71E6">
              <w:rPr>
                <w:rFonts w:eastAsia="Times New Roman"/>
                <w:b/>
                <w:bCs/>
                <w:color w:val="FFFFFF"/>
                <w:kern w:val="0"/>
                <w:sz w:val="24"/>
                <w:szCs w:val="24"/>
                <w:lang w:val="fr-CA"/>
                <w14:ligatures w14:val="none"/>
              </w:rPr>
              <w:t xml:space="preserve">Nombres actuels (ETP) </w:t>
            </w:r>
          </w:p>
        </w:tc>
        <w:tc>
          <w:tcPr>
            <w:tcW w:w="3402" w:type="dxa"/>
            <w:gridSpan w:val="3"/>
            <w:tcBorders>
              <w:top w:val="single" w:sz="2" w:space="0" w:color="auto"/>
              <w:bottom w:val="single" w:sz="2" w:space="0" w:color="auto"/>
              <w:right w:val="single" w:sz="2" w:space="0" w:color="auto"/>
            </w:tcBorders>
            <w:shd w:val="clear" w:color="000000" w:fill="000000"/>
            <w:vAlign w:val="center"/>
            <w:hideMark/>
          </w:tcPr>
          <w:p w14:paraId="2077CBB4" w14:textId="66B1E376" w:rsidR="00C1036A" w:rsidRPr="00CD71E6" w:rsidRDefault="00C7654E" w:rsidP="00C7654E">
            <w:pPr>
              <w:spacing w:after="0" w:line="240" w:lineRule="auto"/>
              <w:jc w:val="center"/>
              <w:rPr>
                <w:rFonts w:eastAsia="Times New Roman"/>
                <w:b/>
                <w:bCs/>
                <w:color w:val="FFFFFF"/>
                <w:kern w:val="0"/>
                <w:sz w:val="24"/>
                <w:szCs w:val="24"/>
                <w:lang w:val="fr-CA"/>
                <w14:ligatures w14:val="none"/>
              </w:rPr>
            </w:pPr>
            <w:r w:rsidRPr="00CD71E6">
              <w:rPr>
                <w:rFonts w:eastAsia="Times New Roman"/>
                <w:b/>
                <w:bCs/>
                <w:color w:val="FFFFFF"/>
                <w:kern w:val="0"/>
                <w:sz w:val="24"/>
                <w:szCs w:val="24"/>
                <w:lang w:val="fr-CA"/>
                <w14:ligatures w14:val="none"/>
              </w:rPr>
              <w:t>À court terme (ETP) :</w:t>
            </w:r>
          </w:p>
        </w:tc>
      </w:tr>
      <w:tr w:rsidR="00C1036A" w:rsidRPr="00CD71E6" w14:paraId="4B5F73BE" w14:textId="77777777" w:rsidTr="00B01B52">
        <w:trPr>
          <w:trHeight w:val="331"/>
        </w:trPr>
        <w:tc>
          <w:tcPr>
            <w:tcW w:w="1308" w:type="dxa"/>
            <w:tcBorders>
              <w:left w:val="single" w:sz="2" w:space="0" w:color="auto"/>
              <w:bottom w:val="single" w:sz="2" w:space="0" w:color="auto"/>
            </w:tcBorders>
            <w:shd w:val="clear" w:color="000000" w:fill="000000"/>
            <w:noWrap/>
            <w:vAlign w:val="center"/>
            <w:hideMark/>
          </w:tcPr>
          <w:p w14:paraId="3FE79700" w14:textId="77777777" w:rsidR="00C1036A" w:rsidRPr="00CD71E6" w:rsidRDefault="00C1036A" w:rsidP="00C7654E">
            <w:pPr>
              <w:spacing w:after="0" w:line="240" w:lineRule="auto"/>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 </w:t>
            </w:r>
          </w:p>
        </w:tc>
        <w:tc>
          <w:tcPr>
            <w:tcW w:w="501" w:type="dxa"/>
            <w:tcBorders>
              <w:bottom w:val="single" w:sz="2" w:space="0" w:color="auto"/>
            </w:tcBorders>
            <w:shd w:val="clear" w:color="000000" w:fill="000000"/>
            <w:noWrap/>
            <w:vAlign w:val="center"/>
            <w:hideMark/>
          </w:tcPr>
          <w:p w14:paraId="3298C39A" w14:textId="77777777" w:rsidR="00C1036A" w:rsidRPr="00CD71E6" w:rsidRDefault="00C1036A" w:rsidP="00C7654E">
            <w:pPr>
              <w:spacing w:after="0" w:line="240" w:lineRule="auto"/>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 </w:t>
            </w:r>
          </w:p>
        </w:tc>
        <w:tc>
          <w:tcPr>
            <w:tcW w:w="4509" w:type="dxa"/>
            <w:gridSpan w:val="4"/>
            <w:tcBorders>
              <w:bottom w:val="single" w:sz="2" w:space="0" w:color="auto"/>
            </w:tcBorders>
            <w:shd w:val="clear" w:color="000000" w:fill="000000"/>
            <w:noWrap/>
            <w:vAlign w:val="center"/>
            <w:hideMark/>
          </w:tcPr>
          <w:p w14:paraId="2994B44D" w14:textId="70BA31CB" w:rsidR="00C1036A" w:rsidRPr="00CD71E6" w:rsidRDefault="00C1036A" w:rsidP="00C7654E">
            <w:pPr>
              <w:spacing w:after="0" w:line="240" w:lineRule="auto"/>
              <w:jc w:val="center"/>
              <w:rPr>
                <w:rFonts w:eastAsia="Times New Roman"/>
                <w:b/>
                <w:bCs/>
                <w:color w:val="FFFFFF"/>
                <w:kern w:val="0"/>
                <w:sz w:val="24"/>
                <w:szCs w:val="24"/>
                <w:lang w:val="fr-CA"/>
                <w14:ligatures w14:val="none"/>
              </w:rPr>
            </w:pPr>
            <w:r w:rsidRPr="00CD71E6">
              <w:rPr>
                <w:rFonts w:eastAsia="Times New Roman"/>
                <w:b/>
                <w:bCs/>
                <w:color w:val="FFFFFF"/>
                <w:kern w:val="0"/>
                <w:sz w:val="24"/>
                <w:szCs w:val="24"/>
                <w:lang w:val="fr-CA"/>
                <w14:ligatures w14:val="none"/>
              </w:rPr>
              <w:t>31 mars 2019</w:t>
            </w:r>
          </w:p>
        </w:tc>
        <w:tc>
          <w:tcPr>
            <w:tcW w:w="3402" w:type="dxa"/>
            <w:gridSpan w:val="3"/>
            <w:tcBorders>
              <w:bottom w:val="single" w:sz="2" w:space="0" w:color="auto"/>
              <w:right w:val="single" w:sz="2" w:space="0" w:color="auto"/>
            </w:tcBorders>
            <w:shd w:val="clear" w:color="000000" w:fill="000000"/>
            <w:vAlign w:val="center"/>
            <w:hideMark/>
          </w:tcPr>
          <w:p w14:paraId="48D5C125" w14:textId="6A315375" w:rsidR="00C1036A" w:rsidRPr="00CD71E6" w:rsidRDefault="00C7654E" w:rsidP="00C7654E">
            <w:pPr>
              <w:spacing w:after="0" w:line="240" w:lineRule="auto"/>
              <w:jc w:val="center"/>
              <w:rPr>
                <w:rFonts w:eastAsia="Times New Roman"/>
                <w:b/>
                <w:bCs/>
                <w:color w:val="FFFFFF"/>
                <w:kern w:val="0"/>
                <w:sz w:val="24"/>
                <w:szCs w:val="24"/>
                <w:lang w:val="fr-CA"/>
                <w14:ligatures w14:val="none"/>
              </w:rPr>
            </w:pPr>
            <w:r w:rsidRPr="00CD71E6">
              <w:rPr>
                <w:rFonts w:eastAsia="Times New Roman"/>
                <w:b/>
                <w:bCs/>
                <w:color w:val="FFFFFF"/>
                <w:kern w:val="0"/>
                <w:sz w:val="24"/>
                <w:szCs w:val="24"/>
                <w:lang w:val="fr-CA"/>
                <w14:ligatures w14:val="none"/>
              </w:rPr>
              <w:t>D’ici le 31 mars 2020</w:t>
            </w:r>
          </w:p>
        </w:tc>
      </w:tr>
      <w:tr w:rsidR="00C1036A" w:rsidRPr="004373E7" w14:paraId="5BA87D58" w14:textId="77777777" w:rsidTr="00B01B52">
        <w:trPr>
          <w:trHeight w:val="532"/>
        </w:trPr>
        <w:tc>
          <w:tcPr>
            <w:tcW w:w="1809" w:type="dxa"/>
            <w:gridSpan w:val="2"/>
            <w:vMerge w:val="restart"/>
            <w:tcBorders>
              <w:left w:val="single" w:sz="2" w:space="0" w:color="auto"/>
              <w:bottom w:val="single" w:sz="2" w:space="0" w:color="auto"/>
            </w:tcBorders>
            <w:shd w:val="clear" w:color="000000" w:fill="000000"/>
            <w:vAlign w:val="center"/>
            <w:hideMark/>
          </w:tcPr>
          <w:p w14:paraId="27E82EEB" w14:textId="77777777" w:rsidR="00C1036A" w:rsidRPr="00CD71E6" w:rsidRDefault="00C1036A" w:rsidP="00C7654E">
            <w:pPr>
              <w:spacing w:after="0" w:line="240" w:lineRule="auto"/>
              <w:jc w:val="center"/>
              <w:rPr>
                <w:rFonts w:eastAsia="Times New Roman"/>
                <w:color w:val="FFFFFF"/>
                <w:kern w:val="0"/>
                <w:szCs w:val="22"/>
                <w:lang w:val="fr-CA"/>
                <w14:ligatures w14:val="none"/>
              </w:rPr>
            </w:pPr>
            <w:r w:rsidRPr="00CD71E6">
              <w:rPr>
                <w:rFonts w:eastAsia="Times New Roman"/>
                <w:color w:val="FFFFFF"/>
                <w:kern w:val="0"/>
                <w:szCs w:val="22"/>
                <w:lang w:val="fr-CA"/>
                <w14:ligatures w14:val="none"/>
              </w:rPr>
              <w:t>Catégorie d’emploi</w:t>
            </w:r>
          </w:p>
        </w:tc>
        <w:tc>
          <w:tcPr>
            <w:tcW w:w="1197" w:type="dxa"/>
            <w:vMerge w:val="restart"/>
            <w:tcBorders>
              <w:bottom w:val="single" w:sz="2" w:space="0" w:color="auto"/>
            </w:tcBorders>
            <w:shd w:val="clear" w:color="000000" w:fill="000000"/>
            <w:vAlign w:val="center"/>
            <w:hideMark/>
          </w:tcPr>
          <w:p w14:paraId="115CC09F" w14:textId="77777777" w:rsidR="00C1036A" w:rsidRPr="00CD71E6" w:rsidRDefault="00C1036A" w:rsidP="00C7654E">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Nombre total de postes</w:t>
            </w:r>
          </w:p>
        </w:tc>
        <w:tc>
          <w:tcPr>
            <w:tcW w:w="1071" w:type="dxa"/>
            <w:vMerge w:val="restart"/>
            <w:tcBorders>
              <w:bottom w:val="single" w:sz="2" w:space="0" w:color="auto"/>
            </w:tcBorders>
            <w:shd w:val="clear" w:color="000000" w:fill="000000"/>
            <w:vAlign w:val="center"/>
            <w:hideMark/>
          </w:tcPr>
          <w:p w14:paraId="2E563FAC" w14:textId="74E03798" w:rsidR="00C1036A" w:rsidRPr="00CD71E6" w:rsidRDefault="00C1036A" w:rsidP="00C21C2A">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 xml:space="preserve">Nombre </w:t>
            </w:r>
            <w:r w:rsidR="00C21C2A" w:rsidRPr="00CD71E6">
              <w:rPr>
                <w:rFonts w:eastAsia="Times New Roman"/>
                <w:color w:val="FFFFFF"/>
                <w:kern w:val="0"/>
                <w:sz w:val="18"/>
                <w:szCs w:val="18"/>
                <w:lang w:val="fr-CA"/>
                <w14:ligatures w14:val="none"/>
              </w:rPr>
              <w:t>de</w:t>
            </w:r>
            <w:r w:rsidR="00C21C2A">
              <w:rPr>
                <w:rFonts w:eastAsia="Times New Roman"/>
                <w:color w:val="FFFFFF"/>
                <w:kern w:val="0"/>
                <w:sz w:val="18"/>
                <w:szCs w:val="18"/>
                <w:lang w:val="fr-CA"/>
                <w14:ligatures w14:val="none"/>
              </w:rPr>
              <w:t> </w:t>
            </w:r>
            <w:r w:rsidRPr="00CD71E6">
              <w:rPr>
                <w:rFonts w:eastAsia="Times New Roman"/>
                <w:color w:val="FFFFFF"/>
                <w:kern w:val="0"/>
                <w:sz w:val="18"/>
                <w:szCs w:val="18"/>
                <w:lang w:val="fr-CA"/>
                <w14:ligatures w14:val="none"/>
              </w:rPr>
              <w:t>postes pourvus</w:t>
            </w:r>
          </w:p>
        </w:tc>
        <w:tc>
          <w:tcPr>
            <w:tcW w:w="945" w:type="dxa"/>
            <w:vMerge w:val="restart"/>
            <w:tcBorders>
              <w:bottom w:val="single" w:sz="2" w:space="0" w:color="auto"/>
            </w:tcBorders>
            <w:shd w:val="clear" w:color="000000" w:fill="000000"/>
            <w:vAlign w:val="center"/>
            <w:hideMark/>
          </w:tcPr>
          <w:p w14:paraId="3DD56DE5" w14:textId="77777777" w:rsidR="00C1036A" w:rsidRPr="00CD71E6" w:rsidRDefault="00C1036A" w:rsidP="00C7654E">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Emplois occupés par des Inuits</w:t>
            </w:r>
          </w:p>
        </w:tc>
        <w:tc>
          <w:tcPr>
            <w:tcW w:w="1296" w:type="dxa"/>
            <w:vMerge w:val="restart"/>
            <w:tcBorders>
              <w:bottom w:val="single" w:sz="2" w:space="0" w:color="auto"/>
            </w:tcBorders>
            <w:shd w:val="clear" w:color="000000" w:fill="000000"/>
            <w:vAlign w:val="center"/>
            <w:hideMark/>
          </w:tcPr>
          <w:p w14:paraId="3FE5BDD0" w14:textId="77777777" w:rsidR="00C1036A" w:rsidRPr="00CD71E6" w:rsidRDefault="00C1036A" w:rsidP="00C7654E">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 du plan d’embauchage des Inuits</w:t>
            </w:r>
          </w:p>
        </w:tc>
        <w:tc>
          <w:tcPr>
            <w:tcW w:w="1161" w:type="dxa"/>
            <w:vMerge w:val="restart"/>
            <w:tcBorders>
              <w:bottom w:val="single" w:sz="2" w:space="0" w:color="auto"/>
            </w:tcBorders>
            <w:shd w:val="clear" w:color="000000" w:fill="000000"/>
            <w:vAlign w:val="center"/>
            <w:hideMark/>
          </w:tcPr>
          <w:p w14:paraId="6BAFA34F" w14:textId="77777777" w:rsidR="00C1036A" w:rsidRPr="00CD71E6" w:rsidRDefault="00C1036A" w:rsidP="00C7654E">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Postes pourvus</w:t>
            </w:r>
          </w:p>
        </w:tc>
        <w:tc>
          <w:tcPr>
            <w:tcW w:w="945" w:type="dxa"/>
            <w:vMerge w:val="restart"/>
            <w:tcBorders>
              <w:bottom w:val="single" w:sz="2" w:space="0" w:color="auto"/>
              <w:right w:val="single" w:sz="2" w:space="0" w:color="auto"/>
            </w:tcBorders>
            <w:shd w:val="clear" w:color="000000" w:fill="000000"/>
            <w:vAlign w:val="center"/>
            <w:hideMark/>
          </w:tcPr>
          <w:p w14:paraId="4C190A3B" w14:textId="77777777" w:rsidR="00C1036A" w:rsidRPr="00CD71E6" w:rsidRDefault="00C1036A" w:rsidP="00C7654E">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Emplois occupés par des Inuits</w:t>
            </w:r>
          </w:p>
        </w:tc>
        <w:tc>
          <w:tcPr>
            <w:tcW w:w="1296" w:type="dxa"/>
            <w:vMerge w:val="restart"/>
            <w:tcBorders>
              <w:left w:val="single" w:sz="2" w:space="0" w:color="auto"/>
            </w:tcBorders>
            <w:shd w:val="clear" w:color="000000" w:fill="000000"/>
            <w:vAlign w:val="center"/>
            <w:hideMark/>
          </w:tcPr>
          <w:p w14:paraId="77AA4F13" w14:textId="77777777" w:rsidR="00C1036A" w:rsidRPr="00CD71E6" w:rsidRDefault="00C1036A" w:rsidP="00C7654E">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 du plan d’embauchage des Inuits</w:t>
            </w:r>
          </w:p>
        </w:tc>
      </w:tr>
      <w:tr w:rsidR="00C1036A" w:rsidRPr="004373E7" w14:paraId="6E45E4BE" w14:textId="77777777" w:rsidTr="00B01B52">
        <w:trPr>
          <w:trHeight w:val="539"/>
        </w:trPr>
        <w:tc>
          <w:tcPr>
            <w:tcW w:w="1809" w:type="dxa"/>
            <w:gridSpan w:val="2"/>
            <w:vMerge/>
            <w:tcBorders>
              <w:left w:val="single" w:sz="2" w:space="0" w:color="auto"/>
              <w:bottom w:val="single" w:sz="2" w:space="0" w:color="auto"/>
            </w:tcBorders>
            <w:vAlign w:val="center"/>
            <w:hideMark/>
          </w:tcPr>
          <w:p w14:paraId="69DD731B" w14:textId="77777777" w:rsidR="00C1036A" w:rsidRPr="00CD71E6" w:rsidRDefault="00C1036A" w:rsidP="00C7654E">
            <w:pPr>
              <w:spacing w:after="0" w:line="240" w:lineRule="auto"/>
              <w:rPr>
                <w:rFonts w:eastAsia="Times New Roman"/>
                <w:color w:val="FFFFFF"/>
                <w:kern w:val="0"/>
                <w:szCs w:val="22"/>
                <w:lang w:val="fr-CA"/>
                <w14:ligatures w14:val="none"/>
              </w:rPr>
            </w:pPr>
          </w:p>
        </w:tc>
        <w:tc>
          <w:tcPr>
            <w:tcW w:w="1197" w:type="dxa"/>
            <w:vMerge/>
            <w:tcBorders>
              <w:bottom w:val="single" w:sz="2" w:space="0" w:color="auto"/>
            </w:tcBorders>
            <w:vAlign w:val="center"/>
            <w:hideMark/>
          </w:tcPr>
          <w:p w14:paraId="6F95C05A" w14:textId="77777777" w:rsidR="00C1036A" w:rsidRPr="00CD71E6" w:rsidRDefault="00C1036A" w:rsidP="00C7654E">
            <w:pPr>
              <w:spacing w:after="0" w:line="240" w:lineRule="auto"/>
              <w:rPr>
                <w:rFonts w:eastAsia="Times New Roman"/>
                <w:color w:val="FFFFFF"/>
                <w:kern w:val="0"/>
                <w:sz w:val="18"/>
                <w:szCs w:val="18"/>
                <w:lang w:val="fr-CA"/>
                <w14:ligatures w14:val="none"/>
              </w:rPr>
            </w:pPr>
          </w:p>
        </w:tc>
        <w:tc>
          <w:tcPr>
            <w:tcW w:w="1071" w:type="dxa"/>
            <w:vMerge/>
            <w:tcBorders>
              <w:bottom w:val="single" w:sz="2" w:space="0" w:color="auto"/>
            </w:tcBorders>
            <w:vAlign w:val="center"/>
            <w:hideMark/>
          </w:tcPr>
          <w:p w14:paraId="5F012BF6" w14:textId="77777777" w:rsidR="00C1036A" w:rsidRPr="00CD71E6" w:rsidRDefault="00C1036A" w:rsidP="00C7654E">
            <w:pPr>
              <w:spacing w:after="0" w:line="240" w:lineRule="auto"/>
              <w:rPr>
                <w:rFonts w:eastAsia="Times New Roman"/>
                <w:color w:val="FFFFFF"/>
                <w:kern w:val="0"/>
                <w:sz w:val="18"/>
                <w:szCs w:val="18"/>
                <w:lang w:val="fr-CA"/>
                <w14:ligatures w14:val="none"/>
              </w:rPr>
            </w:pPr>
          </w:p>
        </w:tc>
        <w:tc>
          <w:tcPr>
            <w:tcW w:w="945" w:type="dxa"/>
            <w:vMerge/>
            <w:tcBorders>
              <w:bottom w:val="single" w:sz="2" w:space="0" w:color="auto"/>
            </w:tcBorders>
            <w:vAlign w:val="center"/>
            <w:hideMark/>
          </w:tcPr>
          <w:p w14:paraId="4B007287" w14:textId="77777777" w:rsidR="00C1036A" w:rsidRPr="00CD71E6" w:rsidRDefault="00C1036A" w:rsidP="00C7654E">
            <w:pPr>
              <w:spacing w:after="0" w:line="240" w:lineRule="auto"/>
              <w:rPr>
                <w:rFonts w:eastAsia="Times New Roman"/>
                <w:color w:val="FFFFFF"/>
                <w:kern w:val="0"/>
                <w:sz w:val="18"/>
                <w:szCs w:val="18"/>
                <w:lang w:val="fr-CA"/>
                <w14:ligatures w14:val="none"/>
              </w:rPr>
            </w:pPr>
          </w:p>
        </w:tc>
        <w:tc>
          <w:tcPr>
            <w:tcW w:w="1296" w:type="dxa"/>
            <w:vMerge/>
            <w:tcBorders>
              <w:bottom w:val="single" w:sz="2" w:space="0" w:color="auto"/>
            </w:tcBorders>
            <w:vAlign w:val="center"/>
            <w:hideMark/>
          </w:tcPr>
          <w:p w14:paraId="6B36900A" w14:textId="77777777" w:rsidR="00C1036A" w:rsidRPr="00CD71E6" w:rsidRDefault="00C1036A" w:rsidP="00C7654E">
            <w:pPr>
              <w:spacing w:after="0" w:line="240" w:lineRule="auto"/>
              <w:rPr>
                <w:rFonts w:eastAsia="Times New Roman"/>
                <w:color w:val="FFFFFF"/>
                <w:kern w:val="0"/>
                <w:sz w:val="18"/>
                <w:szCs w:val="18"/>
                <w:lang w:val="fr-CA"/>
                <w14:ligatures w14:val="none"/>
              </w:rPr>
            </w:pPr>
          </w:p>
        </w:tc>
        <w:tc>
          <w:tcPr>
            <w:tcW w:w="1161" w:type="dxa"/>
            <w:vMerge/>
            <w:tcBorders>
              <w:bottom w:val="single" w:sz="2" w:space="0" w:color="auto"/>
            </w:tcBorders>
            <w:vAlign w:val="center"/>
            <w:hideMark/>
          </w:tcPr>
          <w:p w14:paraId="2740B829" w14:textId="77777777" w:rsidR="00C1036A" w:rsidRPr="00CD71E6" w:rsidRDefault="00C1036A" w:rsidP="00C7654E">
            <w:pPr>
              <w:spacing w:after="0" w:line="240" w:lineRule="auto"/>
              <w:rPr>
                <w:rFonts w:eastAsia="Times New Roman"/>
                <w:color w:val="FFFFFF"/>
                <w:kern w:val="0"/>
                <w:sz w:val="18"/>
                <w:szCs w:val="18"/>
                <w:lang w:val="fr-CA"/>
                <w14:ligatures w14:val="none"/>
              </w:rPr>
            </w:pPr>
          </w:p>
        </w:tc>
        <w:tc>
          <w:tcPr>
            <w:tcW w:w="945" w:type="dxa"/>
            <w:vMerge/>
            <w:tcBorders>
              <w:bottom w:val="single" w:sz="2" w:space="0" w:color="auto"/>
              <w:right w:val="single" w:sz="2" w:space="0" w:color="auto"/>
            </w:tcBorders>
            <w:vAlign w:val="center"/>
            <w:hideMark/>
          </w:tcPr>
          <w:p w14:paraId="78E5BF5A" w14:textId="77777777" w:rsidR="00C1036A" w:rsidRPr="00CD71E6" w:rsidRDefault="00C1036A" w:rsidP="00C7654E">
            <w:pPr>
              <w:spacing w:after="0" w:line="240" w:lineRule="auto"/>
              <w:rPr>
                <w:rFonts w:eastAsia="Times New Roman"/>
                <w:color w:val="FFFFFF"/>
                <w:kern w:val="0"/>
                <w:sz w:val="18"/>
                <w:szCs w:val="18"/>
                <w:lang w:val="fr-CA"/>
                <w14:ligatures w14:val="none"/>
              </w:rPr>
            </w:pPr>
          </w:p>
        </w:tc>
        <w:tc>
          <w:tcPr>
            <w:tcW w:w="1296" w:type="dxa"/>
            <w:vMerge/>
            <w:tcBorders>
              <w:left w:val="single" w:sz="2" w:space="0" w:color="auto"/>
              <w:bottom w:val="single" w:sz="2" w:space="0" w:color="auto"/>
            </w:tcBorders>
            <w:vAlign w:val="center"/>
            <w:hideMark/>
          </w:tcPr>
          <w:p w14:paraId="20EAE452" w14:textId="77777777" w:rsidR="00C1036A" w:rsidRPr="00CD71E6" w:rsidRDefault="00C1036A" w:rsidP="00C7654E">
            <w:pPr>
              <w:spacing w:after="0" w:line="240" w:lineRule="auto"/>
              <w:rPr>
                <w:rFonts w:eastAsia="Times New Roman"/>
                <w:color w:val="FFFFFF"/>
                <w:kern w:val="0"/>
                <w:sz w:val="18"/>
                <w:szCs w:val="18"/>
                <w:lang w:val="fr-CA"/>
                <w14:ligatures w14:val="none"/>
              </w:rPr>
            </w:pPr>
          </w:p>
        </w:tc>
      </w:tr>
      <w:tr w:rsidR="00C7654E" w:rsidRPr="00CD71E6" w14:paraId="09A1974A"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654DC1" w14:textId="77777777" w:rsidR="00C1036A" w:rsidRPr="00CD71E6" w:rsidRDefault="00C1036A" w:rsidP="00C7654E">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direction</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649AFC" w14:textId="77777777"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2,00</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0D9AA664" w14:textId="77777777"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2,00</w:t>
            </w:r>
          </w:p>
        </w:tc>
        <w:tc>
          <w:tcPr>
            <w:tcW w:w="945" w:type="dxa"/>
            <w:tcBorders>
              <w:top w:val="single" w:sz="2" w:space="0" w:color="auto"/>
              <w:bottom w:val="single" w:sz="2" w:space="0" w:color="auto"/>
            </w:tcBorders>
            <w:shd w:val="clear" w:color="auto" w:fill="auto"/>
            <w:noWrap/>
            <w:vAlign w:val="center"/>
            <w:hideMark/>
          </w:tcPr>
          <w:p w14:paraId="00EE1316" w14:textId="2C3CFA48"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1</w:t>
            </w:r>
            <w:r w:rsidR="00C21C2A">
              <w:rPr>
                <w:rFonts w:eastAsia="Times New Roman"/>
                <w:kern w:val="0"/>
                <w:sz w:val="20"/>
                <w:lang w:val="fr-CA"/>
                <w14:ligatures w14:val="none"/>
              </w:rPr>
              <w:t>,00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485EF4C7" w14:textId="77777777"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50 %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7DE16290"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945" w:type="dxa"/>
            <w:tcBorders>
              <w:top w:val="single" w:sz="2" w:space="0" w:color="auto"/>
              <w:bottom w:val="single" w:sz="2" w:space="0" w:color="auto"/>
            </w:tcBorders>
            <w:shd w:val="clear" w:color="auto" w:fill="auto"/>
            <w:noWrap/>
            <w:vAlign w:val="center"/>
            <w:hideMark/>
          </w:tcPr>
          <w:p w14:paraId="4A8F25AC" w14:textId="53010A9F"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w:t>
            </w:r>
            <w:r w:rsidR="00C21C2A">
              <w:rPr>
                <w:rFonts w:eastAsia="Times New Roman"/>
                <w:color w:val="000000"/>
                <w:kern w:val="0"/>
                <w:sz w:val="20"/>
                <w:lang w:val="fr-CA"/>
                <w14:ligatures w14:val="none"/>
              </w:rPr>
              <w:t>,00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70A51EF5"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50 %</w:t>
            </w:r>
          </w:p>
        </w:tc>
      </w:tr>
      <w:tr w:rsidR="00C1036A" w:rsidRPr="00CD71E6" w14:paraId="1DBB262C"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35B625" w14:textId="77777777" w:rsidR="00C1036A" w:rsidRPr="00CD71E6" w:rsidRDefault="00C1036A" w:rsidP="00C7654E">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supérieurs</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996F21" w14:textId="13A3A21E" w:rsidR="00C1036A" w:rsidRPr="00CD71E6" w:rsidRDefault="006949CD"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8,00</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5348F59E" w14:textId="25F8308F" w:rsidR="00C1036A" w:rsidRPr="00CD71E6" w:rsidRDefault="006949CD"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7,00</w:t>
            </w:r>
          </w:p>
        </w:tc>
        <w:tc>
          <w:tcPr>
            <w:tcW w:w="945" w:type="dxa"/>
            <w:tcBorders>
              <w:top w:val="single" w:sz="2" w:space="0" w:color="auto"/>
              <w:bottom w:val="single" w:sz="2" w:space="0" w:color="auto"/>
            </w:tcBorders>
            <w:shd w:val="clear" w:color="auto" w:fill="auto"/>
            <w:noWrap/>
            <w:vAlign w:val="center"/>
            <w:hideMark/>
          </w:tcPr>
          <w:p w14:paraId="310383D2" w14:textId="77777777"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2,00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6EE4DC76" w14:textId="053D64A2" w:rsidR="00C1036A" w:rsidRPr="00CD71E6" w:rsidRDefault="006949CD"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29 %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5CEA9E84"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4,00</w:t>
            </w:r>
          </w:p>
        </w:tc>
        <w:tc>
          <w:tcPr>
            <w:tcW w:w="945" w:type="dxa"/>
            <w:tcBorders>
              <w:top w:val="single" w:sz="2" w:space="0" w:color="auto"/>
              <w:bottom w:val="single" w:sz="2" w:space="0" w:color="auto"/>
            </w:tcBorders>
            <w:shd w:val="clear" w:color="auto" w:fill="auto"/>
            <w:noWrap/>
            <w:vAlign w:val="center"/>
            <w:hideMark/>
          </w:tcPr>
          <w:p w14:paraId="2FD00D57"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5B9C7ED9"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50 %</w:t>
            </w:r>
          </w:p>
        </w:tc>
      </w:tr>
      <w:tr w:rsidR="00C1036A" w:rsidRPr="00CD71E6" w14:paraId="7DD5562A"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B42992" w14:textId="77777777" w:rsidR="00C1036A" w:rsidRPr="00CD71E6" w:rsidRDefault="00C1036A" w:rsidP="00C7654E">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intermédiaires</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AB99BC" w14:textId="161F8D72"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24,00</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2B359704" w14:textId="77777777"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21,00</w:t>
            </w:r>
          </w:p>
        </w:tc>
        <w:tc>
          <w:tcPr>
            <w:tcW w:w="945" w:type="dxa"/>
            <w:tcBorders>
              <w:top w:val="single" w:sz="2" w:space="0" w:color="auto"/>
              <w:bottom w:val="single" w:sz="2" w:space="0" w:color="auto"/>
            </w:tcBorders>
            <w:shd w:val="clear" w:color="auto" w:fill="auto"/>
            <w:noWrap/>
            <w:vAlign w:val="center"/>
            <w:hideMark/>
          </w:tcPr>
          <w:p w14:paraId="41EF4680" w14:textId="020B74AE" w:rsidR="00C1036A" w:rsidRPr="00CD71E6" w:rsidRDefault="006949CD"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10,00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1370725F" w14:textId="0288E8B9" w:rsidR="00C1036A" w:rsidRPr="00CD71E6" w:rsidRDefault="006949CD"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48 %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5BE06021"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19,00</w:t>
            </w:r>
          </w:p>
        </w:tc>
        <w:tc>
          <w:tcPr>
            <w:tcW w:w="945" w:type="dxa"/>
            <w:tcBorders>
              <w:top w:val="single" w:sz="2" w:space="0" w:color="auto"/>
              <w:bottom w:val="single" w:sz="2" w:space="0" w:color="auto"/>
            </w:tcBorders>
            <w:shd w:val="clear" w:color="auto" w:fill="auto"/>
            <w:noWrap/>
            <w:vAlign w:val="center"/>
            <w:hideMark/>
          </w:tcPr>
          <w:p w14:paraId="49D4C5FA"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02BBE88F"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42 %</w:t>
            </w:r>
          </w:p>
        </w:tc>
      </w:tr>
      <w:tr w:rsidR="00C1036A" w:rsidRPr="00CD71E6" w14:paraId="36DFB078"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C578D81" w14:textId="77777777" w:rsidR="00C1036A" w:rsidRPr="00CD71E6" w:rsidRDefault="00C1036A" w:rsidP="00C7654E">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professionnels</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DC958F" w14:textId="7CB72FA1"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131,60</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3A6266FE" w14:textId="7D9350AE" w:rsidR="00C1036A" w:rsidRPr="00CD71E6" w:rsidRDefault="006949CD"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90,00</w:t>
            </w:r>
          </w:p>
        </w:tc>
        <w:tc>
          <w:tcPr>
            <w:tcW w:w="945" w:type="dxa"/>
            <w:tcBorders>
              <w:top w:val="single" w:sz="2" w:space="0" w:color="auto"/>
              <w:bottom w:val="single" w:sz="2" w:space="0" w:color="auto"/>
            </w:tcBorders>
            <w:shd w:val="clear" w:color="auto" w:fill="auto"/>
            <w:noWrap/>
            <w:vAlign w:val="center"/>
            <w:hideMark/>
          </w:tcPr>
          <w:p w14:paraId="6C15E228" w14:textId="56D88160"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35,00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1E92081A" w14:textId="6D860389" w:rsidR="00C1036A" w:rsidRPr="00CD71E6" w:rsidRDefault="006949CD"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39 %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634D92C1"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83,00</w:t>
            </w:r>
          </w:p>
        </w:tc>
        <w:tc>
          <w:tcPr>
            <w:tcW w:w="945" w:type="dxa"/>
            <w:tcBorders>
              <w:top w:val="single" w:sz="2" w:space="0" w:color="auto"/>
              <w:bottom w:val="single" w:sz="2" w:space="0" w:color="auto"/>
            </w:tcBorders>
            <w:shd w:val="clear" w:color="auto" w:fill="auto"/>
            <w:noWrap/>
            <w:vAlign w:val="center"/>
            <w:hideMark/>
          </w:tcPr>
          <w:p w14:paraId="3203D0A1" w14:textId="237182B5"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37</w:t>
            </w:r>
            <w:r w:rsidR="00C21C2A">
              <w:rPr>
                <w:rFonts w:eastAsia="Times New Roman"/>
                <w:color w:val="000000"/>
                <w:kern w:val="0"/>
                <w:sz w:val="20"/>
                <w:lang w:val="fr-CA"/>
                <w14:ligatures w14:val="none"/>
              </w:rPr>
              <w:t>,00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57677426"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45 %</w:t>
            </w:r>
          </w:p>
        </w:tc>
      </w:tr>
      <w:tr w:rsidR="00C1036A" w:rsidRPr="00CD71E6" w14:paraId="5C3629AC"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81BD31" w14:textId="77777777" w:rsidR="00C1036A" w:rsidRPr="00CD71E6" w:rsidRDefault="00C1036A" w:rsidP="00C7654E">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paraprofessionnels</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43D33A" w14:textId="36F60783"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24,50</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4F0B040D" w14:textId="4FA3CDA3"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13,00</w:t>
            </w:r>
          </w:p>
        </w:tc>
        <w:tc>
          <w:tcPr>
            <w:tcW w:w="945" w:type="dxa"/>
            <w:tcBorders>
              <w:top w:val="single" w:sz="2" w:space="0" w:color="auto"/>
              <w:bottom w:val="single" w:sz="2" w:space="0" w:color="auto"/>
            </w:tcBorders>
            <w:shd w:val="clear" w:color="auto" w:fill="auto"/>
            <w:noWrap/>
            <w:vAlign w:val="center"/>
            <w:hideMark/>
          </w:tcPr>
          <w:p w14:paraId="74A75876" w14:textId="0FF572AA" w:rsidR="00C1036A" w:rsidRPr="00CD71E6" w:rsidRDefault="006949CD"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9,00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52F99CBB" w14:textId="17E2D5EF"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69 %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4CFE8122"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16,00</w:t>
            </w:r>
          </w:p>
        </w:tc>
        <w:tc>
          <w:tcPr>
            <w:tcW w:w="945" w:type="dxa"/>
            <w:tcBorders>
              <w:top w:val="single" w:sz="2" w:space="0" w:color="auto"/>
              <w:bottom w:val="single" w:sz="2" w:space="0" w:color="auto"/>
            </w:tcBorders>
            <w:shd w:val="clear" w:color="auto" w:fill="auto"/>
            <w:noWrap/>
            <w:vAlign w:val="center"/>
            <w:hideMark/>
          </w:tcPr>
          <w:p w14:paraId="5AACCEF7" w14:textId="0C31A12C"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11</w:t>
            </w:r>
            <w:r w:rsidR="00C21C2A">
              <w:rPr>
                <w:rFonts w:eastAsia="Times New Roman"/>
                <w:color w:val="000000"/>
                <w:kern w:val="0"/>
                <w:sz w:val="20"/>
                <w:lang w:val="fr-CA"/>
                <w14:ligatures w14:val="none"/>
              </w:rPr>
              <w:t>,00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328CBCDD"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69 %</w:t>
            </w:r>
          </w:p>
        </w:tc>
      </w:tr>
      <w:tr w:rsidR="00C1036A" w:rsidRPr="00CD71E6" w14:paraId="205E845B"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E99EF3" w14:textId="77777777" w:rsidR="00C1036A" w:rsidRPr="00CD71E6" w:rsidRDefault="00C1036A" w:rsidP="00C7654E">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du soutien administratif</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183A699" w14:textId="5762EE6C" w:rsidR="00C1036A" w:rsidRPr="00CD71E6" w:rsidRDefault="006949CD"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57,67</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229AF8A7" w14:textId="73A29EEA" w:rsidR="00C1036A" w:rsidRPr="00CD71E6" w:rsidRDefault="006949CD"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29,00</w:t>
            </w:r>
          </w:p>
        </w:tc>
        <w:tc>
          <w:tcPr>
            <w:tcW w:w="945" w:type="dxa"/>
            <w:tcBorders>
              <w:top w:val="single" w:sz="2" w:space="0" w:color="auto"/>
              <w:bottom w:val="single" w:sz="2" w:space="0" w:color="auto"/>
            </w:tcBorders>
            <w:shd w:val="clear" w:color="auto" w:fill="auto"/>
            <w:noWrap/>
            <w:vAlign w:val="center"/>
            <w:hideMark/>
          </w:tcPr>
          <w:p w14:paraId="2E41D392" w14:textId="6C77567E" w:rsidR="00C1036A" w:rsidRPr="00CD71E6" w:rsidRDefault="00C1036A"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25,00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2E5E44A8" w14:textId="1B484A29" w:rsidR="00C1036A" w:rsidRPr="00CD71E6" w:rsidRDefault="006949CD" w:rsidP="00C7654E">
            <w:pPr>
              <w:spacing w:after="0" w:line="240" w:lineRule="auto"/>
              <w:jc w:val="center"/>
              <w:rPr>
                <w:rFonts w:eastAsia="Times New Roman"/>
                <w:bCs/>
                <w:kern w:val="0"/>
                <w:sz w:val="20"/>
                <w:lang w:val="fr-CA"/>
                <w14:ligatures w14:val="none"/>
              </w:rPr>
            </w:pPr>
            <w:r w:rsidRPr="00CD71E6">
              <w:rPr>
                <w:rFonts w:eastAsia="Times New Roman"/>
                <w:kern w:val="0"/>
                <w:sz w:val="20"/>
                <w:lang w:val="fr-CA"/>
                <w14:ligatures w14:val="none"/>
              </w:rPr>
              <w:t>86 %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717CB8D8"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31,00</w:t>
            </w:r>
          </w:p>
        </w:tc>
        <w:tc>
          <w:tcPr>
            <w:tcW w:w="945" w:type="dxa"/>
            <w:tcBorders>
              <w:top w:val="single" w:sz="2" w:space="0" w:color="auto"/>
              <w:bottom w:val="single" w:sz="2" w:space="0" w:color="auto"/>
            </w:tcBorders>
            <w:shd w:val="clear" w:color="auto" w:fill="auto"/>
            <w:noWrap/>
            <w:vAlign w:val="center"/>
            <w:hideMark/>
          </w:tcPr>
          <w:p w14:paraId="58CC322D" w14:textId="2644A359"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28</w:t>
            </w:r>
            <w:r w:rsidR="00C21C2A">
              <w:rPr>
                <w:rFonts w:eastAsia="Times New Roman"/>
                <w:color w:val="000000"/>
                <w:kern w:val="0"/>
                <w:sz w:val="20"/>
                <w:lang w:val="fr-CA"/>
                <w14:ligatures w14:val="none"/>
              </w:rPr>
              <w:t>,00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2CADBDFE" w14:textId="77777777" w:rsidR="00C1036A" w:rsidRPr="00CD71E6" w:rsidRDefault="00C1036A" w:rsidP="00C7654E">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90 %</w:t>
            </w:r>
          </w:p>
        </w:tc>
      </w:tr>
      <w:tr w:rsidR="00C7654E" w:rsidRPr="00CD71E6" w14:paraId="12516AA6"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5084AAF" w14:textId="77777777" w:rsidR="00C1036A" w:rsidRPr="00CD71E6" w:rsidRDefault="00C1036A" w:rsidP="00C7654E">
            <w:pPr>
              <w:spacing w:after="0" w:line="240" w:lineRule="auto"/>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Total des catégories d’emploi</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25FB30" w14:textId="3FD9102C" w:rsidR="00C1036A" w:rsidRPr="00CD71E6" w:rsidRDefault="00C1036A" w:rsidP="00C7654E">
            <w:pPr>
              <w:spacing w:after="0" w:line="240" w:lineRule="auto"/>
              <w:jc w:val="center"/>
              <w:rPr>
                <w:rFonts w:eastAsia="Times New Roman"/>
                <w:b/>
                <w:bCs/>
                <w:kern w:val="0"/>
                <w:sz w:val="20"/>
                <w:lang w:val="fr-CA"/>
                <w14:ligatures w14:val="none"/>
              </w:rPr>
            </w:pPr>
            <w:r w:rsidRPr="00CD71E6">
              <w:rPr>
                <w:rFonts w:eastAsia="Times New Roman"/>
                <w:b/>
                <w:bCs/>
                <w:kern w:val="0"/>
                <w:sz w:val="20"/>
                <w:lang w:val="fr-CA"/>
                <w14:ligatures w14:val="none"/>
              </w:rPr>
              <w:t>247,77</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6E220B38" w14:textId="551DF5B6" w:rsidR="00C1036A" w:rsidRPr="00CD71E6" w:rsidRDefault="00C1036A" w:rsidP="00C7654E">
            <w:pPr>
              <w:spacing w:after="0" w:line="240" w:lineRule="auto"/>
              <w:jc w:val="center"/>
              <w:rPr>
                <w:rFonts w:eastAsia="Times New Roman"/>
                <w:b/>
                <w:bCs/>
                <w:kern w:val="0"/>
                <w:sz w:val="20"/>
                <w:lang w:val="fr-CA"/>
                <w14:ligatures w14:val="none"/>
              </w:rPr>
            </w:pPr>
            <w:r w:rsidRPr="00CD71E6">
              <w:rPr>
                <w:rFonts w:eastAsia="Times New Roman"/>
                <w:b/>
                <w:bCs/>
                <w:kern w:val="0"/>
                <w:sz w:val="20"/>
                <w:lang w:val="fr-CA"/>
                <w14:ligatures w14:val="none"/>
              </w:rPr>
              <w:t>162,00</w:t>
            </w:r>
          </w:p>
        </w:tc>
        <w:tc>
          <w:tcPr>
            <w:tcW w:w="945" w:type="dxa"/>
            <w:tcBorders>
              <w:top w:val="single" w:sz="2" w:space="0" w:color="auto"/>
              <w:bottom w:val="single" w:sz="2" w:space="0" w:color="auto"/>
            </w:tcBorders>
            <w:shd w:val="clear" w:color="auto" w:fill="auto"/>
            <w:noWrap/>
            <w:vAlign w:val="center"/>
            <w:hideMark/>
          </w:tcPr>
          <w:p w14:paraId="2B1558AF" w14:textId="6C25B940" w:rsidR="00C1036A" w:rsidRPr="00CD71E6" w:rsidRDefault="006949CD" w:rsidP="00C7654E">
            <w:pPr>
              <w:spacing w:after="0" w:line="240" w:lineRule="auto"/>
              <w:jc w:val="center"/>
              <w:rPr>
                <w:rFonts w:eastAsia="Times New Roman"/>
                <w:b/>
                <w:bCs/>
                <w:kern w:val="0"/>
                <w:sz w:val="20"/>
                <w:lang w:val="fr-CA"/>
                <w14:ligatures w14:val="none"/>
              </w:rPr>
            </w:pPr>
            <w:r w:rsidRPr="00CD71E6">
              <w:rPr>
                <w:rFonts w:eastAsia="Times New Roman"/>
                <w:b/>
                <w:bCs/>
                <w:kern w:val="0"/>
                <w:sz w:val="20"/>
                <w:lang w:val="fr-CA"/>
                <w14:ligatures w14:val="none"/>
              </w:rPr>
              <w:t>82,00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6CF7F66E" w14:textId="41CE6D7D" w:rsidR="00C1036A" w:rsidRPr="00CD71E6" w:rsidRDefault="00C1036A" w:rsidP="00C7654E">
            <w:pPr>
              <w:spacing w:after="0" w:line="240" w:lineRule="auto"/>
              <w:jc w:val="center"/>
              <w:rPr>
                <w:rFonts w:eastAsia="Times New Roman"/>
                <w:b/>
                <w:bCs/>
                <w:kern w:val="0"/>
                <w:sz w:val="20"/>
                <w:lang w:val="fr-CA"/>
                <w14:ligatures w14:val="none"/>
              </w:rPr>
            </w:pPr>
            <w:r w:rsidRPr="00CD71E6">
              <w:rPr>
                <w:rFonts w:eastAsia="Times New Roman"/>
                <w:b/>
                <w:bCs/>
                <w:kern w:val="0"/>
                <w:sz w:val="20"/>
                <w:lang w:val="fr-CA"/>
                <w14:ligatures w14:val="none"/>
              </w:rPr>
              <w:t>51 %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7FB5D763" w14:textId="77777777" w:rsidR="00C1036A" w:rsidRPr="00CD71E6" w:rsidRDefault="00C1036A" w:rsidP="00C7654E">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155,00</w:t>
            </w:r>
          </w:p>
        </w:tc>
        <w:tc>
          <w:tcPr>
            <w:tcW w:w="945" w:type="dxa"/>
            <w:tcBorders>
              <w:top w:val="single" w:sz="2" w:space="0" w:color="auto"/>
              <w:bottom w:val="single" w:sz="2" w:space="0" w:color="auto"/>
            </w:tcBorders>
            <w:shd w:val="clear" w:color="auto" w:fill="auto"/>
            <w:noWrap/>
            <w:vAlign w:val="center"/>
            <w:hideMark/>
          </w:tcPr>
          <w:p w14:paraId="7E14F3DC" w14:textId="77777777" w:rsidR="00C1036A" w:rsidRPr="00CD71E6" w:rsidRDefault="00C1036A" w:rsidP="00C7654E">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87,00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04DC4BB7" w14:textId="77777777" w:rsidR="00C1036A" w:rsidRPr="00CD71E6" w:rsidRDefault="00C1036A" w:rsidP="00C7654E">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56 %</w:t>
            </w:r>
          </w:p>
        </w:tc>
      </w:tr>
    </w:tbl>
    <w:p w14:paraId="32C67023" w14:textId="26F0B147" w:rsidR="00C1036A" w:rsidRPr="00CD71E6" w:rsidRDefault="00C1036A" w:rsidP="00C14CE6">
      <w:pPr>
        <w:pStyle w:val="Heading2"/>
        <w:pageBreakBefore/>
        <w:rPr>
          <w:bCs/>
          <w:lang w:val="fr-CA"/>
        </w:rPr>
      </w:pPr>
      <w:bookmarkStart w:id="86" w:name="_Toc41053732"/>
      <w:r w:rsidRPr="00CD71E6">
        <w:rPr>
          <w:bCs/>
          <w:lang w:val="fr-CA"/>
        </w:rPr>
        <w:lastRenderedPageBreak/>
        <w:t>Objectifs et cibles à moyen terme</w:t>
      </w:r>
      <w:bookmarkEnd w:id="86"/>
    </w:p>
    <w:p w14:paraId="0CDCF71E" w14:textId="77955C0F" w:rsidR="00C1036A" w:rsidRPr="00CD71E6" w:rsidRDefault="006949CD" w:rsidP="00C1036A">
      <w:pPr>
        <w:rPr>
          <w:rFonts w:eastAsia="Tw Cen MT"/>
          <w:lang w:val="fr-CA"/>
        </w:rPr>
      </w:pPr>
      <w:r w:rsidRPr="00CD71E6">
        <w:rPr>
          <w:rFonts w:eastAsia="Tw Cen MT"/>
          <w:lang w:val="fr-CA"/>
        </w:rPr>
        <w:t>Les objectifs à moyen terme s’échelonnent sur une période de six ans à compter de 2017, soit jusqu’à mars 2023.</w:t>
      </w:r>
    </w:p>
    <w:tbl>
      <w:tblPr>
        <w:tblStyle w:val="LightList"/>
        <w:tblW w:w="9719" w:type="dxa"/>
        <w:tblLook w:val="04A0" w:firstRow="1" w:lastRow="0" w:firstColumn="1" w:lastColumn="0" w:noHBand="0" w:noVBand="1"/>
      </w:tblPr>
      <w:tblGrid>
        <w:gridCol w:w="4859"/>
        <w:gridCol w:w="4860"/>
      </w:tblGrid>
      <w:tr w:rsidR="00617D18" w:rsidRPr="00CD71E6" w14:paraId="7383D4A1" w14:textId="77777777" w:rsidTr="008D5107">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859" w:type="dxa"/>
            <w:vAlign w:val="center"/>
          </w:tcPr>
          <w:p w14:paraId="3C6C6A2F" w14:textId="5A9B1E74" w:rsidR="00617D18" w:rsidRPr="00CD71E6" w:rsidRDefault="00617D18" w:rsidP="008D5107">
            <w:pPr>
              <w:spacing w:after="0" w:line="240" w:lineRule="auto"/>
              <w:rPr>
                <w:sz w:val="24"/>
                <w:lang w:val="fr-CA"/>
              </w:rPr>
            </w:pPr>
            <w:r w:rsidRPr="00CD71E6">
              <w:rPr>
                <w:sz w:val="24"/>
                <w:lang w:val="fr-CA"/>
              </w:rPr>
              <w:t>OBJECTIF À MOYEN TERME</w:t>
            </w:r>
          </w:p>
        </w:tc>
        <w:tc>
          <w:tcPr>
            <w:tcW w:w="4860" w:type="dxa"/>
            <w:vAlign w:val="center"/>
          </w:tcPr>
          <w:p w14:paraId="26325216" w14:textId="77777777" w:rsidR="00617D18" w:rsidRPr="00CD71E6" w:rsidRDefault="00617D18" w:rsidP="008D5107">
            <w:pPr>
              <w:spacing w:after="0" w:line="240" w:lineRule="auto"/>
              <w:cnfStyle w:val="100000000000" w:firstRow="1" w:lastRow="0" w:firstColumn="0" w:lastColumn="0" w:oddVBand="0" w:evenVBand="0" w:oddHBand="0" w:evenHBand="0" w:firstRowFirstColumn="0" w:firstRowLastColumn="0" w:lastRowFirstColumn="0" w:lastRowLastColumn="0"/>
              <w:rPr>
                <w:sz w:val="24"/>
                <w:lang w:val="fr-CA"/>
              </w:rPr>
            </w:pPr>
            <w:r w:rsidRPr="00CD71E6">
              <w:rPr>
                <w:sz w:val="24"/>
                <w:lang w:val="fr-CA"/>
              </w:rPr>
              <w:t>RÉSULTATS ESCOMPTÉS</w:t>
            </w:r>
          </w:p>
        </w:tc>
      </w:tr>
      <w:tr w:rsidR="00617D18" w:rsidRPr="00B01B52" w14:paraId="7C6FE358" w14:textId="77777777" w:rsidTr="008D5107">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4859" w:type="dxa"/>
          </w:tcPr>
          <w:p w14:paraId="23811F00" w14:textId="02FD3C6D" w:rsidR="00617D18" w:rsidRPr="00CD71E6" w:rsidRDefault="00617D18" w:rsidP="008D5107">
            <w:pPr>
              <w:spacing w:line="240" w:lineRule="auto"/>
              <w:rPr>
                <w:szCs w:val="22"/>
                <w:lang w:val="fr-CA"/>
              </w:rPr>
            </w:pPr>
            <w:r w:rsidRPr="00CD71E6">
              <w:rPr>
                <w:szCs w:val="22"/>
                <w:lang w:val="fr-CA"/>
              </w:rPr>
              <w:t xml:space="preserve">D’ici mars 2023, le CAN accroîtra la représentation inuite à 67 % en : </w:t>
            </w:r>
          </w:p>
          <w:p w14:paraId="28EFD356" w14:textId="77777777" w:rsidR="00617D18" w:rsidRPr="00CD71E6" w:rsidRDefault="00617D18" w:rsidP="0094062C">
            <w:pPr>
              <w:pStyle w:val="ListParagraph"/>
              <w:numPr>
                <w:ilvl w:val="0"/>
                <w:numId w:val="26"/>
              </w:numPr>
              <w:spacing w:after="0" w:line="240" w:lineRule="auto"/>
              <w:rPr>
                <w:b w:val="0"/>
                <w:szCs w:val="22"/>
                <w:lang w:val="fr-CA"/>
              </w:rPr>
            </w:pPr>
            <w:r w:rsidRPr="00CD71E6">
              <w:rPr>
                <w:b w:val="0"/>
                <w:bCs w:val="0"/>
                <w:szCs w:val="22"/>
                <w:lang w:val="fr-CA"/>
              </w:rPr>
              <w:t>Maximisant les possibilités d’emploi offertes aux Inuits dans la catégorie des professionnels.</w:t>
            </w:r>
          </w:p>
          <w:p w14:paraId="2B8EF5E1" w14:textId="138B4A4F" w:rsidR="00617D18" w:rsidRPr="00CD71E6" w:rsidRDefault="00617D18" w:rsidP="0094062C">
            <w:pPr>
              <w:pStyle w:val="ListParagraph"/>
              <w:numPr>
                <w:ilvl w:val="0"/>
                <w:numId w:val="26"/>
              </w:numPr>
              <w:spacing w:after="0" w:line="240" w:lineRule="auto"/>
              <w:rPr>
                <w:b w:val="0"/>
                <w:szCs w:val="22"/>
                <w:lang w:val="fr-CA"/>
              </w:rPr>
            </w:pPr>
            <w:r w:rsidRPr="00CD71E6">
              <w:rPr>
                <w:b w:val="0"/>
                <w:bCs w:val="0"/>
                <w:szCs w:val="22"/>
                <w:lang w:val="fr-CA"/>
              </w:rPr>
              <w:t>Traitant les lacunes du marché du travail dans les postes spécialisés avec des candidats inuits qualifiés.</w:t>
            </w:r>
          </w:p>
        </w:tc>
        <w:tc>
          <w:tcPr>
            <w:tcW w:w="4860" w:type="dxa"/>
          </w:tcPr>
          <w:p w14:paraId="701A3AB6" w14:textId="0B9290FF" w:rsidR="00617D18" w:rsidRPr="00CD71E6" w:rsidRDefault="00617D18" w:rsidP="00617D1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de direction à 2.</w:t>
            </w:r>
          </w:p>
          <w:p w14:paraId="394B3F12" w14:textId="10D12AD5" w:rsidR="00617D18" w:rsidRPr="00CD71E6" w:rsidRDefault="00617D18" w:rsidP="00617D1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des cadres supérieurs à 4.</w:t>
            </w:r>
          </w:p>
          <w:p w14:paraId="16BF5F32" w14:textId="4364D697" w:rsidR="00617D18" w:rsidRPr="00CD71E6" w:rsidRDefault="00617D18" w:rsidP="00617D18">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des cadres intermédiaires à 12.</w:t>
            </w:r>
          </w:p>
          <w:p w14:paraId="267B7907" w14:textId="40F4BCF0" w:rsidR="00617D18" w:rsidRPr="00CD71E6"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des professionnels à 65.</w:t>
            </w:r>
          </w:p>
          <w:p w14:paraId="69DED589" w14:textId="2F0B1879" w:rsidR="00617D18" w:rsidRPr="00CD71E6"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des paraprofessionnels à 18.</w:t>
            </w:r>
          </w:p>
          <w:p w14:paraId="24B2DA5D" w14:textId="5700C3D1" w:rsidR="00617D18" w:rsidRPr="00CD71E6"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du soutien administratif à 37.</w:t>
            </w:r>
          </w:p>
        </w:tc>
      </w:tr>
    </w:tbl>
    <w:p w14:paraId="37F9B22C" w14:textId="01350C3E" w:rsidR="00617D18" w:rsidRPr="00CD71E6" w:rsidRDefault="00617D18" w:rsidP="00C1036A">
      <w:pPr>
        <w:rPr>
          <w:lang w:val="fr-CA"/>
        </w:rPr>
      </w:pPr>
    </w:p>
    <w:p w14:paraId="6B235A39" w14:textId="2BDFA6E1" w:rsidR="00617D18" w:rsidRPr="00CD71E6" w:rsidRDefault="00617D18" w:rsidP="00C1036A">
      <w:pPr>
        <w:rPr>
          <w:lang w:val="fr-CA"/>
        </w:rPr>
      </w:pPr>
    </w:p>
    <w:tbl>
      <w:tblPr>
        <w:tblpPr w:leftFromText="180" w:rightFromText="180" w:vertAnchor="text" w:horzAnchor="margin" w:tblpY="78"/>
        <w:tblW w:w="9720" w:type="dxa"/>
        <w:tblLook w:val="04A0" w:firstRow="1" w:lastRow="0" w:firstColumn="1" w:lastColumn="0" w:noHBand="0" w:noVBand="1"/>
      </w:tblPr>
      <w:tblGrid>
        <w:gridCol w:w="1384"/>
        <w:gridCol w:w="381"/>
        <w:gridCol w:w="1197"/>
        <w:gridCol w:w="1115"/>
        <w:gridCol w:w="945"/>
        <w:gridCol w:w="1296"/>
        <w:gridCol w:w="1161"/>
        <w:gridCol w:w="945"/>
        <w:gridCol w:w="1296"/>
      </w:tblGrid>
      <w:tr w:rsidR="00617D18" w:rsidRPr="00CD71E6" w14:paraId="47B3C22C" w14:textId="77777777" w:rsidTr="00B01B52">
        <w:trPr>
          <w:trHeight w:val="331"/>
        </w:trPr>
        <w:tc>
          <w:tcPr>
            <w:tcW w:w="1384" w:type="dxa"/>
            <w:tcBorders>
              <w:top w:val="single" w:sz="2" w:space="0" w:color="auto"/>
              <w:left w:val="single" w:sz="2" w:space="0" w:color="auto"/>
              <w:bottom w:val="single" w:sz="2" w:space="0" w:color="auto"/>
            </w:tcBorders>
            <w:shd w:val="clear" w:color="000000" w:fill="000000"/>
            <w:noWrap/>
            <w:vAlign w:val="center"/>
            <w:hideMark/>
          </w:tcPr>
          <w:p w14:paraId="0C556373" w14:textId="77777777" w:rsidR="00617D18" w:rsidRPr="00CD71E6" w:rsidRDefault="00617D18" w:rsidP="00617D18">
            <w:pPr>
              <w:spacing w:after="0" w:line="240" w:lineRule="auto"/>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 </w:t>
            </w:r>
          </w:p>
        </w:tc>
        <w:tc>
          <w:tcPr>
            <w:tcW w:w="381" w:type="dxa"/>
            <w:tcBorders>
              <w:top w:val="single" w:sz="2" w:space="0" w:color="auto"/>
              <w:bottom w:val="single" w:sz="2" w:space="0" w:color="auto"/>
            </w:tcBorders>
            <w:shd w:val="clear" w:color="000000" w:fill="000000"/>
            <w:noWrap/>
            <w:vAlign w:val="center"/>
            <w:hideMark/>
          </w:tcPr>
          <w:p w14:paraId="42D4F1CB" w14:textId="77777777" w:rsidR="00617D18" w:rsidRPr="00CD71E6" w:rsidRDefault="00617D18" w:rsidP="00617D18">
            <w:pPr>
              <w:spacing w:after="0" w:line="240" w:lineRule="auto"/>
              <w:rPr>
                <w:rFonts w:eastAsia="Times New Roman"/>
                <w:b/>
                <w:bCs/>
                <w:color w:val="FFFFFF"/>
                <w:kern w:val="0"/>
                <w:szCs w:val="22"/>
                <w:lang w:val="fr-CA"/>
                <w14:ligatures w14:val="none"/>
              </w:rPr>
            </w:pPr>
          </w:p>
        </w:tc>
        <w:tc>
          <w:tcPr>
            <w:tcW w:w="4553" w:type="dxa"/>
            <w:gridSpan w:val="4"/>
            <w:tcBorders>
              <w:top w:val="single" w:sz="2" w:space="0" w:color="auto"/>
              <w:bottom w:val="single" w:sz="2" w:space="0" w:color="auto"/>
            </w:tcBorders>
            <w:shd w:val="clear" w:color="000000" w:fill="000000"/>
            <w:noWrap/>
            <w:vAlign w:val="center"/>
            <w:hideMark/>
          </w:tcPr>
          <w:p w14:paraId="7E4CC95E" w14:textId="77777777" w:rsidR="00617D18" w:rsidRPr="00CD71E6" w:rsidRDefault="00617D18" w:rsidP="00617D18">
            <w:pPr>
              <w:spacing w:after="0" w:line="240" w:lineRule="auto"/>
              <w:jc w:val="center"/>
              <w:rPr>
                <w:rFonts w:eastAsia="Times New Roman"/>
                <w:b/>
                <w:bCs/>
                <w:color w:val="FFFFFF"/>
                <w:kern w:val="0"/>
                <w:sz w:val="24"/>
                <w:szCs w:val="24"/>
                <w:lang w:val="fr-CA"/>
                <w14:ligatures w14:val="none"/>
              </w:rPr>
            </w:pPr>
            <w:r w:rsidRPr="00CD71E6">
              <w:rPr>
                <w:rFonts w:eastAsia="Times New Roman"/>
                <w:b/>
                <w:bCs/>
                <w:color w:val="FFFFFF"/>
                <w:kern w:val="0"/>
                <w:sz w:val="24"/>
                <w:szCs w:val="24"/>
                <w:lang w:val="fr-CA"/>
                <w14:ligatures w14:val="none"/>
              </w:rPr>
              <w:t xml:space="preserve">Nombres actuels (ETP) </w:t>
            </w:r>
          </w:p>
        </w:tc>
        <w:tc>
          <w:tcPr>
            <w:tcW w:w="3402" w:type="dxa"/>
            <w:gridSpan w:val="3"/>
            <w:tcBorders>
              <w:top w:val="single" w:sz="2" w:space="0" w:color="auto"/>
              <w:bottom w:val="single" w:sz="2" w:space="0" w:color="auto"/>
              <w:right w:val="single" w:sz="2" w:space="0" w:color="auto"/>
            </w:tcBorders>
            <w:shd w:val="clear" w:color="000000" w:fill="000000"/>
            <w:vAlign w:val="center"/>
            <w:hideMark/>
          </w:tcPr>
          <w:p w14:paraId="62D60612" w14:textId="21E3C8B3" w:rsidR="00617D18" w:rsidRPr="00CD71E6" w:rsidRDefault="00617D18" w:rsidP="00617D18">
            <w:pPr>
              <w:spacing w:after="0" w:line="240" w:lineRule="auto"/>
              <w:jc w:val="center"/>
              <w:rPr>
                <w:rFonts w:eastAsia="Times New Roman"/>
                <w:b/>
                <w:bCs/>
                <w:color w:val="FFFFFF"/>
                <w:kern w:val="0"/>
                <w:sz w:val="24"/>
                <w:szCs w:val="24"/>
                <w:lang w:val="fr-CA"/>
                <w14:ligatures w14:val="none"/>
              </w:rPr>
            </w:pPr>
            <w:r w:rsidRPr="00CD71E6">
              <w:rPr>
                <w:rFonts w:eastAsia="Times New Roman"/>
                <w:b/>
                <w:bCs/>
                <w:color w:val="FFFFFF"/>
                <w:kern w:val="0"/>
                <w:sz w:val="24"/>
                <w:szCs w:val="24"/>
                <w:lang w:val="fr-CA"/>
                <w14:ligatures w14:val="none"/>
              </w:rPr>
              <w:t>À moyen terme (ETP) :</w:t>
            </w:r>
          </w:p>
        </w:tc>
      </w:tr>
      <w:tr w:rsidR="00617D18" w:rsidRPr="00CD71E6" w14:paraId="7417EB13" w14:textId="77777777" w:rsidTr="00B01B52">
        <w:trPr>
          <w:trHeight w:val="331"/>
        </w:trPr>
        <w:tc>
          <w:tcPr>
            <w:tcW w:w="1384" w:type="dxa"/>
            <w:tcBorders>
              <w:left w:val="single" w:sz="2" w:space="0" w:color="auto"/>
              <w:bottom w:val="single" w:sz="2" w:space="0" w:color="auto"/>
            </w:tcBorders>
            <w:shd w:val="clear" w:color="000000" w:fill="000000"/>
            <w:noWrap/>
            <w:vAlign w:val="center"/>
            <w:hideMark/>
          </w:tcPr>
          <w:p w14:paraId="562CDF76" w14:textId="77777777" w:rsidR="00617D18" w:rsidRPr="00CD71E6" w:rsidRDefault="00617D18" w:rsidP="00617D18">
            <w:pPr>
              <w:spacing w:after="0" w:line="240" w:lineRule="auto"/>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 </w:t>
            </w:r>
          </w:p>
        </w:tc>
        <w:tc>
          <w:tcPr>
            <w:tcW w:w="381" w:type="dxa"/>
            <w:tcBorders>
              <w:bottom w:val="single" w:sz="2" w:space="0" w:color="auto"/>
            </w:tcBorders>
            <w:shd w:val="clear" w:color="000000" w:fill="000000"/>
            <w:noWrap/>
            <w:vAlign w:val="center"/>
            <w:hideMark/>
          </w:tcPr>
          <w:p w14:paraId="128584AB" w14:textId="77777777" w:rsidR="00617D18" w:rsidRPr="00CD71E6" w:rsidRDefault="00617D18" w:rsidP="00617D18">
            <w:pPr>
              <w:spacing w:after="0" w:line="240" w:lineRule="auto"/>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 </w:t>
            </w:r>
          </w:p>
        </w:tc>
        <w:tc>
          <w:tcPr>
            <w:tcW w:w="4553" w:type="dxa"/>
            <w:gridSpan w:val="4"/>
            <w:tcBorders>
              <w:bottom w:val="single" w:sz="2" w:space="0" w:color="auto"/>
            </w:tcBorders>
            <w:shd w:val="clear" w:color="000000" w:fill="000000"/>
            <w:noWrap/>
            <w:vAlign w:val="center"/>
            <w:hideMark/>
          </w:tcPr>
          <w:p w14:paraId="273F3C96" w14:textId="77777777" w:rsidR="00617D18" w:rsidRPr="00CD71E6" w:rsidRDefault="00617D18" w:rsidP="00617D18">
            <w:pPr>
              <w:spacing w:after="0" w:line="240" w:lineRule="auto"/>
              <w:jc w:val="center"/>
              <w:rPr>
                <w:rFonts w:eastAsia="Times New Roman"/>
                <w:b/>
                <w:bCs/>
                <w:color w:val="FFFFFF"/>
                <w:kern w:val="0"/>
                <w:sz w:val="24"/>
                <w:szCs w:val="24"/>
                <w:lang w:val="fr-CA"/>
                <w14:ligatures w14:val="none"/>
              </w:rPr>
            </w:pPr>
            <w:r w:rsidRPr="00CD71E6">
              <w:rPr>
                <w:rFonts w:eastAsia="Times New Roman"/>
                <w:b/>
                <w:bCs/>
                <w:color w:val="FFFFFF"/>
                <w:kern w:val="0"/>
                <w:sz w:val="24"/>
                <w:szCs w:val="24"/>
                <w:lang w:val="fr-CA"/>
                <w14:ligatures w14:val="none"/>
              </w:rPr>
              <w:t>31 mars 2019</w:t>
            </w:r>
          </w:p>
        </w:tc>
        <w:tc>
          <w:tcPr>
            <w:tcW w:w="3402" w:type="dxa"/>
            <w:gridSpan w:val="3"/>
            <w:tcBorders>
              <w:bottom w:val="single" w:sz="2" w:space="0" w:color="auto"/>
              <w:right w:val="single" w:sz="2" w:space="0" w:color="auto"/>
            </w:tcBorders>
            <w:shd w:val="clear" w:color="000000" w:fill="000000"/>
            <w:vAlign w:val="center"/>
            <w:hideMark/>
          </w:tcPr>
          <w:p w14:paraId="4003FD44" w14:textId="437C191C" w:rsidR="00617D18" w:rsidRPr="00CD71E6" w:rsidRDefault="00617D18" w:rsidP="00617D18">
            <w:pPr>
              <w:spacing w:after="0" w:line="240" w:lineRule="auto"/>
              <w:jc w:val="center"/>
              <w:rPr>
                <w:rFonts w:eastAsia="Times New Roman"/>
                <w:b/>
                <w:bCs/>
                <w:color w:val="FFFFFF"/>
                <w:kern w:val="0"/>
                <w:sz w:val="24"/>
                <w:szCs w:val="24"/>
                <w:lang w:val="fr-CA"/>
                <w14:ligatures w14:val="none"/>
              </w:rPr>
            </w:pPr>
            <w:r w:rsidRPr="00CD71E6">
              <w:rPr>
                <w:rFonts w:eastAsia="Times New Roman"/>
                <w:b/>
                <w:bCs/>
                <w:color w:val="FFFFFF"/>
                <w:kern w:val="0"/>
                <w:sz w:val="24"/>
                <w:szCs w:val="24"/>
                <w:lang w:val="fr-CA"/>
                <w14:ligatures w14:val="none"/>
              </w:rPr>
              <w:t>D’ici le 31 mars 2023</w:t>
            </w:r>
          </w:p>
        </w:tc>
      </w:tr>
      <w:tr w:rsidR="00617D18" w:rsidRPr="004373E7" w14:paraId="1FAE32D3" w14:textId="77777777" w:rsidTr="00B01B52">
        <w:trPr>
          <w:trHeight w:val="532"/>
        </w:trPr>
        <w:tc>
          <w:tcPr>
            <w:tcW w:w="1765" w:type="dxa"/>
            <w:gridSpan w:val="2"/>
            <w:vMerge w:val="restart"/>
            <w:tcBorders>
              <w:left w:val="single" w:sz="2" w:space="0" w:color="auto"/>
              <w:bottom w:val="single" w:sz="2" w:space="0" w:color="auto"/>
            </w:tcBorders>
            <w:shd w:val="clear" w:color="000000" w:fill="000000"/>
            <w:vAlign w:val="center"/>
            <w:hideMark/>
          </w:tcPr>
          <w:p w14:paraId="54A21BC8" w14:textId="77777777" w:rsidR="00617D18" w:rsidRPr="00CD71E6" w:rsidRDefault="00617D18" w:rsidP="00617D18">
            <w:pPr>
              <w:spacing w:after="0" w:line="240" w:lineRule="auto"/>
              <w:jc w:val="center"/>
              <w:rPr>
                <w:rFonts w:eastAsia="Times New Roman"/>
                <w:color w:val="FFFFFF"/>
                <w:kern w:val="0"/>
                <w:szCs w:val="22"/>
                <w:lang w:val="fr-CA"/>
                <w14:ligatures w14:val="none"/>
              </w:rPr>
            </w:pPr>
            <w:r w:rsidRPr="00CD71E6">
              <w:rPr>
                <w:rFonts w:eastAsia="Times New Roman"/>
                <w:color w:val="FFFFFF"/>
                <w:kern w:val="0"/>
                <w:szCs w:val="22"/>
                <w:lang w:val="fr-CA"/>
                <w14:ligatures w14:val="none"/>
              </w:rPr>
              <w:t>Catégorie d’emploi</w:t>
            </w:r>
          </w:p>
        </w:tc>
        <w:tc>
          <w:tcPr>
            <w:tcW w:w="1197" w:type="dxa"/>
            <w:vMerge w:val="restart"/>
            <w:tcBorders>
              <w:bottom w:val="single" w:sz="2" w:space="0" w:color="auto"/>
            </w:tcBorders>
            <w:shd w:val="clear" w:color="000000" w:fill="000000"/>
            <w:vAlign w:val="center"/>
            <w:hideMark/>
          </w:tcPr>
          <w:p w14:paraId="6A10A670" w14:textId="77777777" w:rsidR="00617D18" w:rsidRPr="00CD71E6" w:rsidRDefault="00617D18" w:rsidP="00617D18">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Nombre total de postes</w:t>
            </w:r>
          </w:p>
        </w:tc>
        <w:tc>
          <w:tcPr>
            <w:tcW w:w="1115" w:type="dxa"/>
            <w:vMerge w:val="restart"/>
            <w:tcBorders>
              <w:bottom w:val="single" w:sz="2" w:space="0" w:color="auto"/>
            </w:tcBorders>
            <w:shd w:val="clear" w:color="000000" w:fill="000000"/>
            <w:vAlign w:val="center"/>
            <w:hideMark/>
          </w:tcPr>
          <w:p w14:paraId="1BCE0E47" w14:textId="58C1C890" w:rsidR="00617D18" w:rsidRPr="00CD71E6" w:rsidRDefault="00617D18" w:rsidP="00C21C2A">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 xml:space="preserve">Nombre </w:t>
            </w:r>
            <w:r w:rsidR="00C21C2A" w:rsidRPr="00CD71E6">
              <w:rPr>
                <w:rFonts w:eastAsia="Times New Roman"/>
                <w:color w:val="FFFFFF"/>
                <w:kern w:val="0"/>
                <w:sz w:val="18"/>
                <w:szCs w:val="18"/>
                <w:lang w:val="fr-CA"/>
                <w14:ligatures w14:val="none"/>
              </w:rPr>
              <w:t>de</w:t>
            </w:r>
            <w:r w:rsidR="00C21C2A">
              <w:rPr>
                <w:rFonts w:eastAsia="Times New Roman"/>
                <w:color w:val="FFFFFF"/>
                <w:kern w:val="0"/>
                <w:sz w:val="18"/>
                <w:szCs w:val="18"/>
                <w:lang w:val="fr-CA"/>
                <w14:ligatures w14:val="none"/>
              </w:rPr>
              <w:t> </w:t>
            </w:r>
            <w:r w:rsidRPr="00CD71E6">
              <w:rPr>
                <w:rFonts w:eastAsia="Times New Roman"/>
                <w:color w:val="FFFFFF"/>
                <w:kern w:val="0"/>
                <w:sz w:val="18"/>
                <w:szCs w:val="18"/>
                <w:lang w:val="fr-CA"/>
                <w14:ligatures w14:val="none"/>
              </w:rPr>
              <w:t>postes pourvus</w:t>
            </w:r>
          </w:p>
        </w:tc>
        <w:tc>
          <w:tcPr>
            <w:tcW w:w="945" w:type="dxa"/>
            <w:vMerge w:val="restart"/>
            <w:tcBorders>
              <w:bottom w:val="single" w:sz="2" w:space="0" w:color="auto"/>
            </w:tcBorders>
            <w:shd w:val="clear" w:color="000000" w:fill="000000"/>
            <w:vAlign w:val="center"/>
            <w:hideMark/>
          </w:tcPr>
          <w:p w14:paraId="4B06695F" w14:textId="77777777" w:rsidR="00617D18" w:rsidRPr="00CD71E6" w:rsidRDefault="00617D18" w:rsidP="00617D18">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Emplois occupés par des Inuits</w:t>
            </w:r>
          </w:p>
        </w:tc>
        <w:tc>
          <w:tcPr>
            <w:tcW w:w="1296" w:type="dxa"/>
            <w:vMerge w:val="restart"/>
            <w:tcBorders>
              <w:bottom w:val="single" w:sz="2" w:space="0" w:color="auto"/>
            </w:tcBorders>
            <w:shd w:val="clear" w:color="000000" w:fill="000000"/>
            <w:vAlign w:val="center"/>
            <w:hideMark/>
          </w:tcPr>
          <w:p w14:paraId="50054876" w14:textId="77777777" w:rsidR="00617D18" w:rsidRPr="00CD71E6" w:rsidRDefault="00617D18" w:rsidP="00617D18">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 du plan d’embauchage des Inuits</w:t>
            </w:r>
          </w:p>
        </w:tc>
        <w:tc>
          <w:tcPr>
            <w:tcW w:w="1161" w:type="dxa"/>
            <w:vMerge w:val="restart"/>
            <w:tcBorders>
              <w:bottom w:val="single" w:sz="2" w:space="0" w:color="auto"/>
            </w:tcBorders>
            <w:shd w:val="clear" w:color="000000" w:fill="000000"/>
            <w:vAlign w:val="center"/>
            <w:hideMark/>
          </w:tcPr>
          <w:p w14:paraId="75B9C6BB" w14:textId="77777777" w:rsidR="00617D18" w:rsidRPr="00CD71E6" w:rsidRDefault="00617D18" w:rsidP="00617D18">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Postes pourvus</w:t>
            </w:r>
          </w:p>
        </w:tc>
        <w:tc>
          <w:tcPr>
            <w:tcW w:w="945" w:type="dxa"/>
            <w:vMerge w:val="restart"/>
            <w:tcBorders>
              <w:bottom w:val="single" w:sz="2" w:space="0" w:color="auto"/>
              <w:right w:val="single" w:sz="2" w:space="0" w:color="auto"/>
            </w:tcBorders>
            <w:shd w:val="clear" w:color="000000" w:fill="000000"/>
            <w:vAlign w:val="center"/>
            <w:hideMark/>
          </w:tcPr>
          <w:p w14:paraId="7309FB67" w14:textId="77777777" w:rsidR="00617D18" w:rsidRPr="00CD71E6" w:rsidRDefault="00617D18" w:rsidP="00617D18">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Emplois occupés par des Inuits</w:t>
            </w:r>
          </w:p>
        </w:tc>
        <w:tc>
          <w:tcPr>
            <w:tcW w:w="1296" w:type="dxa"/>
            <w:vMerge w:val="restart"/>
            <w:tcBorders>
              <w:left w:val="single" w:sz="2" w:space="0" w:color="auto"/>
            </w:tcBorders>
            <w:shd w:val="clear" w:color="000000" w:fill="000000"/>
            <w:vAlign w:val="center"/>
            <w:hideMark/>
          </w:tcPr>
          <w:p w14:paraId="60FE87D7" w14:textId="77777777" w:rsidR="00617D18" w:rsidRPr="00CD71E6" w:rsidRDefault="00617D18" w:rsidP="00617D18">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 du plan d’embauchage des Inuits</w:t>
            </w:r>
          </w:p>
        </w:tc>
      </w:tr>
      <w:tr w:rsidR="00617D18" w:rsidRPr="004373E7" w14:paraId="3F0221D1" w14:textId="77777777" w:rsidTr="00B01B52">
        <w:trPr>
          <w:trHeight w:val="539"/>
        </w:trPr>
        <w:tc>
          <w:tcPr>
            <w:tcW w:w="1765" w:type="dxa"/>
            <w:gridSpan w:val="2"/>
            <w:vMerge/>
            <w:tcBorders>
              <w:left w:val="single" w:sz="2" w:space="0" w:color="auto"/>
              <w:bottom w:val="single" w:sz="2" w:space="0" w:color="auto"/>
            </w:tcBorders>
            <w:vAlign w:val="center"/>
            <w:hideMark/>
          </w:tcPr>
          <w:p w14:paraId="78E09BD2" w14:textId="77777777" w:rsidR="00617D18" w:rsidRPr="00CD71E6" w:rsidRDefault="00617D18" w:rsidP="00617D18">
            <w:pPr>
              <w:spacing w:after="0" w:line="240" w:lineRule="auto"/>
              <w:rPr>
                <w:rFonts w:eastAsia="Times New Roman"/>
                <w:color w:val="FFFFFF"/>
                <w:kern w:val="0"/>
                <w:szCs w:val="22"/>
                <w:lang w:val="fr-CA"/>
                <w14:ligatures w14:val="none"/>
              </w:rPr>
            </w:pPr>
          </w:p>
        </w:tc>
        <w:tc>
          <w:tcPr>
            <w:tcW w:w="1197" w:type="dxa"/>
            <w:vMerge/>
            <w:tcBorders>
              <w:bottom w:val="single" w:sz="2" w:space="0" w:color="auto"/>
            </w:tcBorders>
            <w:vAlign w:val="center"/>
            <w:hideMark/>
          </w:tcPr>
          <w:p w14:paraId="5BC6B8F4" w14:textId="77777777" w:rsidR="00617D18" w:rsidRPr="00CD71E6" w:rsidRDefault="00617D18" w:rsidP="00617D18">
            <w:pPr>
              <w:spacing w:after="0" w:line="240" w:lineRule="auto"/>
              <w:rPr>
                <w:rFonts w:eastAsia="Times New Roman"/>
                <w:color w:val="FFFFFF"/>
                <w:kern w:val="0"/>
                <w:sz w:val="18"/>
                <w:szCs w:val="18"/>
                <w:lang w:val="fr-CA"/>
                <w14:ligatures w14:val="none"/>
              </w:rPr>
            </w:pPr>
          </w:p>
        </w:tc>
        <w:tc>
          <w:tcPr>
            <w:tcW w:w="1115" w:type="dxa"/>
            <w:vMerge/>
            <w:tcBorders>
              <w:bottom w:val="single" w:sz="2" w:space="0" w:color="auto"/>
            </w:tcBorders>
            <w:vAlign w:val="center"/>
            <w:hideMark/>
          </w:tcPr>
          <w:p w14:paraId="71B2579B" w14:textId="77777777" w:rsidR="00617D18" w:rsidRPr="00CD71E6" w:rsidRDefault="00617D18" w:rsidP="00617D18">
            <w:pPr>
              <w:spacing w:after="0" w:line="240" w:lineRule="auto"/>
              <w:rPr>
                <w:rFonts w:eastAsia="Times New Roman"/>
                <w:color w:val="FFFFFF"/>
                <w:kern w:val="0"/>
                <w:sz w:val="18"/>
                <w:szCs w:val="18"/>
                <w:lang w:val="fr-CA"/>
                <w14:ligatures w14:val="none"/>
              </w:rPr>
            </w:pPr>
          </w:p>
        </w:tc>
        <w:tc>
          <w:tcPr>
            <w:tcW w:w="945" w:type="dxa"/>
            <w:vMerge/>
            <w:tcBorders>
              <w:bottom w:val="single" w:sz="2" w:space="0" w:color="auto"/>
            </w:tcBorders>
            <w:vAlign w:val="center"/>
            <w:hideMark/>
          </w:tcPr>
          <w:p w14:paraId="61D7D5E2" w14:textId="77777777" w:rsidR="00617D18" w:rsidRPr="00CD71E6" w:rsidRDefault="00617D18" w:rsidP="00617D18">
            <w:pPr>
              <w:spacing w:after="0" w:line="240" w:lineRule="auto"/>
              <w:rPr>
                <w:rFonts w:eastAsia="Times New Roman"/>
                <w:color w:val="FFFFFF"/>
                <w:kern w:val="0"/>
                <w:sz w:val="18"/>
                <w:szCs w:val="18"/>
                <w:lang w:val="fr-CA"/>
                <w14:ligatures w14:val="none"/>
              </w:rPr>
            </w:pPr>
          </w:p>
        </w:tc>
        <w:tc>
          <w:tcPr>
            <w:tcW w:w="1296" w:type="dxa"/>
            <w:vMerge/>
            <w:tcBorders>
              <w:bottom w:val="single" w:sz="2" w:space="0" w:color="auto"/>
            </w:tcBorders>
            <w:vAlign w:val="center"/>
            <w:hideMark/>
          </w:tcPr>
          <w:p w14:paraId="3035339E" w14:textId="77777777" w:rsidR="00617D18" w:rsidRPr="00CD71E6" w:rsidRDefault="00617D18" w:rsidP="00617D18">
            <w:pPr>
              <w:spacing w:after="0" w:line="240" w:lineRule="auto"/>
              <w:rPr>
                <w:rFonts w:eastAsia="Times New Roman"/>
                <w:color w:val="FFFFFF"/>
                <w:kern w:val="0"/>
                <w:sz w:val="18"/>
                <w:szCs w:val="18"/>
                <w:lang w:val="fr-CA"/>
                <w14:ligatures w14:val="none"/>
              </w:rPr>
            </w:pPr>
          </w:p>
        </w:tc>
        <w:tc>
          <w:tcPr>
            <w:tcW w:w="1161" w:type="dxa"/>
            <w:vMerge/>
            <w:tcBorders>
              <w:bottom w:val="single" w:sz="2" w:space="0" w:color="auto"/>
            </w:tcBorders>
            <w:vAlign w:val="center"/>
            <w:hideMark/>
          </w:tcPr>
          <w:p w14:paraId="0409F930" w14:textId="77777777" w:rsidR="00617D18" w:rsidRPr="00CD71E6" w:rsidRDefault="00617D18" w:rsidP="00617D18">
            <w:pPr>
              <w:spacing w:after="0" w:line="240" w:lineRule="auto"/>
              <w:rPr>
                <w:rFonts w:eastAsia="Times New Roman"/>
                <w:color w:val="FFFFFF"/>
                <w:kern w:val="0"/>
                <w:sz w:val="18"/>
                <w:szCs w:val="18"/>
                <w:lang w:val="fr-CA"/>
                <w14:ligatures w14:val="none"/>
              </w:rPr>
            </w:pPr>
          </w:p>
        </w:tc>
        <w:tc>
          <w:tcPr>
            <w:tcW w:w="945" w:type="dxa"/>
            <w:vMerge/>
            <w:tcBorders>
              <w:bottom w:val="single" w:sz="2" w:space="0" w:color="auto"/>
              <w:right w:val="single" w:sz="2" w:space="0" w:color="auto"/>
            </w:tcBorders>
            <w:vAlign w:val="center"/>
            <w:hideMark/>
          </w:tcPr>
          <w:p w14:paraId="0DA9502D" w14:textId="77777777" w:rsidR="00617D18" w:rsidRPr="00CD71E6" w:rsidRDefault="00617D18" w:rsidP="00617D18">
            <w:pPr>
              <w:spacing w:after="0" w:line="240" w:lineRule="auto"/>
              <w:rPr>
                <w:rFonts w:eastAsia="Times New Roman"/>
                <w:color w:val="FFFFFF"/>
                <w:kern w:val="0"/>
                <w:sz w:val="18"/>
                <w:szCs w:val="18"/>
                <w:lang w:val="fr-CA"/>
                <w14:ligatures w14:val="none"/>
              </w:rPr>
            </w:pPr>
          </w:p>
        </w:tc>
        <w:tc>
          <w:tcPr>
            <w:tcW w:w="1296" w:type="dxa"/>
            <w:vMerge/>
            <w:tcBorders>
              <w:left w:val="single" w:sz="2" w:space="0" w:color="auto"/>
              <w:bottom w:val="single" w:sz="2" w:space="0" w:color="auto"/>
            </w:tcBorders>
            <w:vAlign w:val="center"/>
            <w:hideMark/>
          </w:tcPr>
          <w:p w14:paraId="3375887E" w14:textId="77777777" w:rsidR="00617D18" w:rsidRPr="00CD71E6" w:rsidRDefault="00617D18" w:rsidP="00617D18">
            <w:pPr>
              <w:spacing w:after="0" w:line="240" w:lineRule="auto"/>
              <w:rPr>
                <w:rFonts w:eastAsia="Times New Roman"/>
                <w:color w:val="FFFFFF"/>
                <w:kern w:val="0"/>
                <w:sz w:val="18"/>
                <w:szCs w:val="18"/>
                <w:lang w:val="fr-CA"/>
                <w14:ligatures w14:val="none"/>
              </w:rPr>
            </w:pPr>
          </w:p>
        </w:tc>
      </w:tr>
      <w:tr w:rsidR="00617D18" w:rsidRPr="00CD71E6" w14:paraId="0D32C4EE" w14:textId="77777777" w:rsidTr="00B01B52">
        <w:trPr>
          <w:trHeight w:val="301"/>
        </w:trPr>
        <w:tc>
          <w:tcPr>
            <w:tcW w:w="176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D812CF" w14:textId="77777777" w:rsidR="00617D18" w:rsidRPr="00CD71E6" w:rsidRDefault="00617D18" w:rsidP="00617D18">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direction</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F567EC5"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1115" w:type="dxa"/>
            <w:tcBorders>
              <w:top w:val="single" w:sz="2" w:space="0" w:color="auto"/>
              <w:left w:val="single" w:sz="2" w:space="0" w:color="auto"/>
              <w:bottom w:val="single" w:sz="2" w:space="0" w:color="auto"/>
            </w:tcBorders>
            <w:shd w:val="clear" w:color="auto" w:fill="auto"/>
            <w:noWrap/>
            <w:vAlign w:val="center"/>
            <w:hideMark/>
          </w:tcPr>
          <w:p w14:paraId="244A10CD"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945" w:type="dxa"/>
            <w:tcBorders>
              <w:top w:val="single" w:sz="2" w:space="0" w:color="auto"/>
              <w:bottom w:val="single" w:sz="2" w:space="0" w:color="auto"/>
            </w:tcBorders>
            <w:shd w:val="clear" w:color="auto" w:fill="auto"/>
            <w:noWrap/>
            <w:vAlign w:val="center"/>
            <w:hideMark/>
          </w:tcPr>
          <w:p w14:paraId="48735C04" w14:textId="29E0B48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w:t>
            </w:r>
            <w:r w:rsidR="00C21C2A">
              <w:rPr>
                <w:rFonts w:eastAsia="Times New Roman"/>
                <w:color w:val="000000"/>
                <w:kern w:val="0"/>
                <w:sz w:val="20"/>
                <w:lang w:val="fr-CA"/>
                <w14:ligatures w14:val="none"/>
              </w:rPr>
              <w:t>,00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0C9DF39A"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50 %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22970EDF" w14:textId="2B71D9E2"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945" w:type="dxa"/>
            <w:tcBorders>
              <w:top w:val="single" w:sz="2" w:space="0" w:color="auto"/>
              <w:bottom w:val="single" w:sz="2" w:space="0" w:color="auto"/>
            </w:tcBorders>
            <w:shd w:val="clear" w:color="auto" w:fill="auto"/>
            <w:noWrap/>
            <w:vAlign w:val="center"/>
            <w:hideMark/>
          </w:tcPr>
          <w:p w14:paraId="18225622" w14:textId="777F12AA"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784F1703" w14:textId="3DC3B6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r>
      <w:tr w:rsidR="00617D18" w:rsidRPr="00CD71E6" w14:paraId="37730BC7" w14:textId="77777777" w:rsidTr="00B01B52">
        <w:trPr>
          <w:trHeight w:val="301"/>
        </w:trPr>
        <w:tc>
          <w:tcPr>
            <w:tcW w:w="176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B9953B" w14:textId="77777777" w:rsidR="00617D18" w:rsidRPr="00CD71E6" w:rsidRDefault="00617D18" w:rsidP="00617D18">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supérieurs</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D9EF02B"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8,00</w:t>
            </w:r>
          </w:p>
        </w:tc>
        <w:tc>
          <w:tcPr>
            <w:tcW w:w="1115" w:type="dxa"/>
            <w:tcBorders>
              <w:top w:val="single" w:sz="2" w:space="0" w:color="auto"/>
              <w:left w:val="single" w:sz="2" w:space="0" w:color="auto"/>
              <w:bottom w:val="single" w:sz="2" w:space="0" w:color="auto"/>
            </w:tcBorders>
            <w:shd w:val="clear" w:color="auto" w:fill="auto"/>
            <w:noWrap/>
            <w:vAlign w:val="center"/>
            <w:hideMark/>
          </w:tcPr>
          <w:p w14:paraId="157085A7"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7,00</w:t>
            </w:r>
          </w:p>
        </w:tc>
        <w:tc>
          <w:tcPr>
            <w:tcW w:w="945" w:type="dxa"/>
            <w:tcBorders>
              <w:top w:val="single" w:sz="2" w:space="0" w:color="auto"/>
              <w:bottom w:val="single" w:sz="2" w:space="0" w:color="auto"/>
            </w:tcBorders>
            <w:shd w:val="clear" w:color="auto" w:fill="auto"/>
            <w:noWrap/>
            <w:vAlign w:val="center"/>
            <w:hideMark/>
          </w:tcPr>
          <w:p w14:paraId="18C41DF4"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36BDDBA7"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29 %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2CA0707C" w14:textId="4717B5A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6,00</w:t>
            </w:r>
          </w:p>
        </w:tc>
        <w:tc>
          <w:tcPr>
            <w:tcW w:w="945" w:type="dxa"/>
            <w:tcBorders>
              <w:top w:val="single" w:sz="2" w:space="0" w:color="auto"/>
              <w:bottom w:val="single" w:sz="2" w:space="0" w:color="auto"/>
            </w:tcBorders>
            <w:shd w:val="clear" w:color="auto" w:fill="auto"/>
            <w:noWrap/>
            <w:vAlign w:val="center"/>
            <w:hideMark/>
          </w:tcPr>
          <w:p w14:paraId="2207FE38" w14:textId="760D16A0"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27B07486" w14:textId="3811814C"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67 %</w:t>
            </w:r>
          </w:p>
        </w:tc>
      </w:tr>
      <w:tr w:rsidR="00617D18" w:rsidRPr="00CD71E6" w14:paraId="564AFAA4" w14:textId="77777777" w:rsidTr="00B01B52">
        <w:trPr>
          <w:trHeight w:val="301"/>
        </w:trPr>
        <w:tc>
          <w:tcPr>
            <w:tcW w:w="176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9795A0" w14:textId="77777777" w:rsidR="00617D18" w:rsidRPr="00CD71E6" w:rsidRDefault="00617D18" w:rsidP="00617D18">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intermédiaires</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540E23"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24,00</w:t>
            </w:r>
          </w:p>
        </w:tc>
        <w:tc>
          <w:tcPr>
            <w:tcW w:w="1115" w:type="dxa"/>
            <w:tcBorders>
              <w:top w:val="single" w:sz="2" w:space="0" w:color="auto"/>
              <w:left w:val="single" w:sz="2" w:space="0" w:color="auto"/>
              <w:bottom w:val="single" w:sz="2" w:space="0" w:color="auto"/>
            </w:tcBorders>
            <w:shd w:val="clear" w:color="auto" w:fill="auto"/>
            <w:noWrap/>
            <w:vAlign w:val="center"/>
            <w:hideMark/>
          </w:tcPr>
          <w:p w14:paraId="28AF4DF3"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21,00</w:t>
            </w:r>
          </w:p>
        </w:tc>
        <w:tc>
          <w:tcPr>
            <w:tcW w:w="945" w:type="dxa"/>
            <w:tcBorders>
              <w:top w:val="single" w:sz="2" w:space="0" w:color="auto"/>
              <w:bottom w:val="single" w:sz="2" w:space="0" w:color="auto"/>
            </w:tcBorders>
            <w:shd w:val="clear" w:color="auto" w:fill="auto"/>
            <w:noWrap/>
            <w:vAlign w:val="center"/>
            <w:hideMark/>
          </w:tcPr>
          <w:p w14:paraId="684E3938"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1BF6004C"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48 %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47762D1D" w14:textId="47894DCD"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24</w:t>
            </w:r>
            <w:r w:rsidR="00C21C2A">
              <w:rPr>
                <w:rFonts w:eastAsia="Times New Roman"/>
                <w:color w:val="000000"/>
                <w:kern w:val="0"/>
                <w:sz w:val="20"/>
                <w:lang w:val="fr-CA"/>
                <w14:ligatures w14:val="none"/>
              </w:rPr>
              <w:t>,00</w:t>
            </w:r>
          </w:p>
        </w:tc>
        <w:tc>
          <w:tcPr>
            <w:tcW w:w="945" w:type="dxa"/>
            <w:tcBorders>
              <w:top w:val="single" w:sz="2" w:space="0" w:color="auto"/>
              <w:bottom w:val="single" w:sz="2" w:space="0" w:color="auto"/>
            </w:tcBorders>
            <w:shd w:val="clear" w:color="auto" w:fill="auto"/>
            <w:noWrap/>
            <w:vAlign w:val="center"/>
            <w:hideMark/>
          </w:tcPr>
          <w:p w14:paraId="1BAD92A5" w14:textId="7D679B16"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12,00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6CDF8700" w14:textId="7501140B"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50 %</w:t>
            </w:r>
          </w:p>
        </w:tc>
      </w:tr>
      <w:tr w:rsidR="00617D18" w:rsidRPr="00CD71E6" w14:paraId="14EC43CD" w14:textId="77777777" w:rsidTr="00B01B52">
        <w:trPr>
          <w:trHeight w:val="301"/>
        </w:trPr>
        <w:tc>
          <w:tcPr>
            <w:tcW w:w="176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7E584C" w14:textId="77777777" w:rsidR="00617D18" w:rsidRPr="00CD71E6" w:rsidRDefault="00617D18" w:rsidP="00617D18">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professionnels</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B0E129C"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131,60</w:t>
            </w:r>
          </w:p>
        </w:tc>
        <w:tc>
          <w:tcPr>
            <w:tcW w:w="1115" w:type="dxa"/>
            <w:tcBorders>
              <w:top w:val="single" w:sz="2" w:space="0" w:color="auto"/>
              <w:left w:val="single" w:sz="2" w:space="0" w:color="auto"/>
              <w:bottom w:val="single" w:sz="2" w:space="0" w:color="auto"/>
            </w:tcBorders>
            <w:shd w:val="clear" w:color="auto" w:fill="auto"/>
            <w:noWrap/>
            <w:vAlign w:val="center"/>
            <w:hideMark/>
          </w:tcPr>
          <w:p w14:paraId="55ECAA96"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90,00</w:t>
            </w:r>
          </w:p>
        </w:tc>
        <w:tc>
          <w:tcPr>
            <w:tcW w:w="945" w:type="dxa"/>
            <w:tcBorders>
              <w:top w:val="single" w:sz="2" w:space="0" w:color="auto"/>
              <w:bottom w:val="single" w:sz="2" w:space="0" w:color="auto"/>
            </w:tcBorders>
            <w:shd w:val="clear" w:color="auto" w:fill="auto"/>
            <w:noWrap/>
            <w:vAlign w:val="center"/>
            <w:hideMark/>
          </w:tcPr>
          <w:p w14:paraId="73591401"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35,00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3B61708F"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39 %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24280414" w14:textId="327F0EA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112,00</w:t>
            </w:r>
          </w:p>
        </w:tc>
        <w:tc>
          <w:tcPr>
            <w:tcW w:w="945" w:type="dxa"/>
            <w:tcBorders>
              <w:top w:val="single" w:sz="2" w:space="0" w:color="auto"/>
              <w:bottom w:val="single" w:sz="2" w:space="0" w:color="auto"/>
            </w:tcBorders>
            <w:shd w:val="clear" w:color="auto" w:fill="auto"/>
            <w:noWrap/>
            <w:vAlign w:val="center"/>
            <w:hideMark/>
          </w:tcPr>
          <w:p w14:paraId="2E313CD9" w14:textId="782CF995"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65,00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31F8128C" w14:textId="0A3582F2"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58 %</w:t>
            </w:r>
          </w:p>
        </w:tc>
      </w:tr>
      <w:tr w:rsidR="00617D18" w:rsidRPr="00CD71E6" w14:paraId="6AC47712" w14:textId="77777777" w:rsidTr="00B01B52">
        <w:trPr>
          <w:trHeight w:val="301"/>
        </w:trPr>
        <w:tc>
          <w:tcPr>
            <w:tcW w:w="176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F1D921" w14:textId="77777777" w:rsidR="00617D18" w:rsidRPr="00CD71E6" w:rsidRDefault="00617D18" w:rsidP="00617D18">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paraprofessionnels</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238FAB"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24,50</w:t>
            </w:r>
          </w:p>
        </w:tc>
        <w:tc>
          <w:tcPr>
            <w:tcW w:w="1115" w:type="dxa"/>
            <w:tcBorders>
              <w:top w:val="single" w:sz="2" w:space="0" w:color="auto"/>
              <w:left w:val="single" w:sz="2" w:space="0" w:color="auto"/>
              <w:bottom w:val="single" w:sz="2" w:space="0" w:color="auto"/>
            </w:tcBorders>
            <w:shd w:val="clear" w:color="auto" w:fill="auto"/>
            <w:noWrap/>
            <w:vAlign w:val="center"/>
            <w:hideMark/>
          </w:tcPr>
          <w:p w14:paraId="3A4B744E"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13,00</w:t>
            </w:r>
          </w:p>
        </w:tc>
        <w:tc>
          <w:tcPr>
            <w:tcW w:w="945" w:type="dxa"/>
            <w:tcBorders>
              <w:top w:val="single" w:sz="2" w:space="0" w:color="auto"/>
              <w:bottom w:val="single" w:sz="2" w:space="0" w:color="auto"/>
            </w:tcBorders>
            <w:shd w:val="clear" w:color="auto" w:fill="auto"/>
            <w:noWrap/>
            <w:vAlign w:val="center"/>
            <w:hideMark/>
          </w:tcPr>
          <w:p w14:paraId="7BB99E5D"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1AFD414F"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69 %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00BF405B" w14:textId="423F2A01"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20,50</w:t>
            </w:r>
          </w:p>
        </w:tc>
        <w:tc>
          <w:tcPr>
            <w:tcW w:w="945" w:type="dxa"/>
            <w:tcBorders>
              <w:top w:val="single" w:sz="2" w:space="0" w:color="auto"/>
              <w:bottom w:val="single" w:sz="2" w:space="0" w:color="auto"/>
            </w:tcBorders>
            <w:shd w:val="clear" w:color="auto" w:fill="auto"/>
            <w:noWrap/>
            <w:vAlign w:val="center"/>
            <w:hideMark/>
          </w:tcPr>
          <w:p w14:paraId="44148F91" w14:textId="553CFB08"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18,00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63D48378" w14:textId="3DD9CD70"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88 %</w:t>
            </w:r>
          </w:p>
        </w:tc>
      </w:tr>
      <w:tr w:rsidR="00617D18" w:rsidRPr="00CD71E6" w14:paraId="1A3148A9" w14:textId="77777777" w:rsidTr="00B01B52">
        <w:trPr>
          <w:trHeight w:val="301"/>
        </w:trPr>
        <w:tc>
          <w:tcPr>
            <w:tcW w:w="176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18DDA3" w14:textId="77777777" w:rsidR="00617D18" w:rsidRPr="00CD71E6" w:rsidRDefault="00617D18" w:rsidP="00617D18">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du soutien administratif</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FB5F7F"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57,67</w:t>
            </w:r>
          </w:p>
        </w:tc>
        <w:tc>
          <w:tcPr>
            <w:tcW w:w="1115" w:type="dxa"/>
            <w:tcBorders>
              <w:top w:val="single" w:sz="2" w:space="0" w:color="auto"/>
              <w:left w:val="single" w:sz="2" w:space="0" w:color="auto"/>
              <w:bottom w:val="single" w:sz="2" w:space="0" w:color="auto"/>
            </w:tcBorders>
            <w:shd w:val="clear" w:color="auto" w:fill="auto"/>
            <w:noWrap/>
            <w:vAlign w:val="center"/>
            <w:hideMark/>
          </w:tcPr>
          <w:p w14:paraId="488B8E90"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29,00</w:t>
            </w:r>
          </w:p>
        </w:tc>
        <w:tc>
          <w:tcPr>
            <w:tcW w:w="945" w:type="dxa"/>
            <w:tcBorders>
              <w:top w:val="single" w:sz="2" w:space="0" w:color="auto"/>
              <w:bottom w:val="single" w:sz="2" w:space="0" w:color="auto"/>
            </w:tcBorders>
            <w:shd w:val="clear" w:color="auto" w:fill="auto"/>
            <w:noWrap/>
            <w:vAlign w:val="center"/>
            <w:hideMark/>
          </w:tcPr>
          <w:p w14:paraId="2CE8F4DE"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25,00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0006B83A"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86 %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1CD638CD" w14:textId="2788BB88"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40,00</w:t>
            </w:r>
          </w:p>
        </w:tc>
        <w:tc>
          <w:tcPr>
            <w:tcW w:w="945" w:type="dxa"/>
            <w:tcBorders>
              <w:top w:val="single" w:sz="2" w:space="0" w:color="auto"/>
              <w:bottom w:val="single" w:sz="2" w:space="0" w:color="auto"/>
            </w:tcBorders>
            <w:shd w:val="clear" w:color="auto" w:fill="auto"/>
            <w:noWrap/>
            <w:vAlign w:val="center"/>
            <w:hideMark/>
          </w:tcPr>
          <w:p w14:paraId="614DDEFF" w14:textId="62F62B5B"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37,00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0370D1E7" w14:textId="69794A00"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93 %</w:t>
            </w:r>
          </w:p>
        </w:tc>
      </w:tr>
      <w:tr w:rsidR="00617D18" w:rsidRPr="00CD71E6" w14:paraId="5316B16E" w14:textId="77777777" w:rsidTr="00B01B52">
        <w:trPr>
          <w:trHeight w:val="301"/>
        </w:trPr>
        <w:tc>
          <w:tcPr>
            <w:tcW w:w="176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BD48A5" w14:textId="77777777" w:rsidR="00617D18" w:rsidRPr="00CD71E6" w:rsidRDefault="00617D18" w:rsidP="00617D18">
            <w:pPr>
              <w:spacing w:after="0" w:line="240" w:lineRule="auto"/>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Total des catégories d’emploi</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98C632" w14:textId="77777777"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247,77</w:t>
            </w:r>
          </w:p>
        </w:tc>
        <w:tc>
          <w:tcPr>
            <w:tcW w:w="1115" w:type="dxa"/>
            <w:tcBorders>
              <w:top w:val="single" w:sz="2" w:space="0" w:color="auto"/>
              <w:left w:val="single" w:sz="2" w:space="0" w:color="auto"/>
              <w:bottom w:val="single" w:sz="2" w:space="0" w:color="auto"/>
            </w:tcBorders>
            <w:shd w:val="clear" w:color="auto" w:fill="auto"/>
            <w:noWrap/>
            <w:vAlign w:val="center"/>
            <w:hideMark/>
          </w:tcPr>
          <w:p w14:paraId="3EF84781" w14:textId="77777777"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162,00</w:t>
            </w:r>
          </w:p>
        </w:tc>
        <w:tc>
          <w:tcPr>
            <w:tcW w:w="945" w:type="dxa"/>
            <w:tcBorders>
              <w:top w:val="single" w:sz="2" w:space="0" w:color="auto"/>
              <w:bottom w:val="single" w:sz="2" w:space="0" w:color="auto"/>
            </w:tcBorders>
            <w:shd w:val="clear" w:color="auto" w:fill="auto"/>
            <w:noWrap/>
            <w:vAlign w:val="center"/>
            <w:hideMark/>
          </w:tcPr>
          <w:p w14:paraId="55DBE373" w14:textId="77777777"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82,00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6FB18678" w14:textId="77777777"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51 %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0880A5AE" w14:textId="69E7ED65"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204,50</w:t>
            </w:r>
          </w:p>
        </w:tc>
        <w:tc>
          <w:tcPr>
            <w:tcW w:w="945" w:type="dxa"/>
            <w:tcBorders>
              <w:top w:val="single" w:sz="2" w:space="0" w:color="auto"/>
              <w:bottom w:val="single" w:sz="2" w:space="0" w:color="auto"/>
            </w:tcBorders>
            <w:shd w:val="clear" w:color="auto" w:fill="auto"/>
            <w:noWrap/>
            <w:vAlign w:val="center"/>
            <w:hideMark/>
          </w:tcPr>
          <w:p w14:paraId="4A60AFE5" w14:textId="52DF3062"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137,00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7A48BA0E" w14:textId="34156AAF"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67 %</w:t>
            </w:r>
          </w:p>
        </w:tc>
      </w:tr>
    </w:tbl>
    <w:p w14:paraId="7A5344A6" w14:textId="677D84B2" w:rsidR="00617D18" w:rsidRPr="00CD71E6" w:rsidRDefault="00617D18" w:rsidP="00C1036A">
      <w:pPr>
        <w:rPr>
          <w:lang w:val="fr-CA"/>
        </w:rPr>
      </w:pPr>
    </w:p>
    <w:p w14:paraId="55588C2F" w14:textId="4106DA04" w:rsidR="00617D18" w:rsidRPr="00CD71E6" w:rsidRDefault="00617D18" w:rsidP="00C1036A">
      <w:pPr>
        <w:rPr>
          <w:lang w:val="fr-CA"/>
        </w:rPr>
      </w:pPr>
    </w:p>
    <w:p w14:paraId="5D1039D2" w14:textId="31794567" w:rsidR="001504F0" w:rsidRPr="00CD71E6" w:rsidRDefault="001504F0" w:rsidP="001504F0">
      <w:pPr>
        <w:pStyle w:val="Heading2"/>
        <w:rPr>
          <w:lang w:val="fr-CA"/>
        </w:rPr>
      </w:pPr>
      <w:bookmarkStart w:id="87" w:name="_Toc41053733"/>
      <w:r w:rsidRPr="00CD71E6">
        <w:rPr>
          <w:bCs/>
          <w:lang w:val="fr-CA"/>
        </w:rPr>
        <w:lastRenderedPageBreak/>
        <w:t>Objectifs et cibles à long terme</w:t>
      </w:r>
      <w:bookmarkEnd w:id="87"/>
    </w:p>
    <w:p w14:paraId="7322A8AB" w14:textId="7675A676" w:rsidR="000274CF" w:rsidRPr="00CD71E6" w:rsidRDefault="00617D18" w:rsidP="000274CF">
      <w:pPr>
        <w:rPr>
          <w:rFonts w:eastAsia="Tw Cen MT"/>
          <w:lang w:val="fr-CA"/>
        </w:rPr>
      </w:pPr>
      <w:r w:rsidRPr="00CD71E6">
        <w:rPr>
          <w:rFonts w:eastAsia="Tw Cen MT"/>
          <w:lang w:val="fr-CA"/>
        </w:rPr>
        <w:t xml:space="preserve">Les objectifs à long terme ont une date butoir postérieure à mars 2023, soit une période de dix ans à compter de 2017. </w:t>
      </w:r>
    </w:p>
    <w:tbl>
      <w:tblPr>
        <w:tblStyle w:val="LightList"/>
        <w:tblW w:w="9719" w:type="dxa"/>
        <w:tblLook w:val="04A0" w:firstRow="1" w:lastRow="0" w:firstColumn="1" w:lastColumn="0" w:noHBand="0" w:noVBand="1"/>
      </w:tblPr>
      <w:tblGrid>
        <w:gridCol w:w="4859"/>
        <w:gridCol w:w="4860"/>
      </w:tblGrid>
      <w:tr w:rsidR="00617D18" w:rsidRPr="00CD71E6" w14:paraId="07A52B38" w14:textId="77777777" w:rsidTr="008D5107">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859" w:type="dxa"/>
            <w:vAlign w:val="center"/>
          </w:tcPr>
          <w:p w14:paraId="149EF33D" w14:textId="796FD905" w:rsidR="00617D18" w:rsidRPr="00CD71E6" w:rsidRDefault="00617D18" w:rsidP="008D5107">
            <w:pPr>
              <w:spacing w:after="0" w:line="240" w:lineRule="auto"/>
              <w:rPr>
                <w:sz w:val="24"/>
                <w:lang w:val="fr-CA"/>
              </w:rPr>
            </w:pPr>
            <w:r w:rsidRPr="00CD71E6">
              <w:rPr>
                <w:sz w:val="24"/>
                <w:lang w:val="fr-CA"/>
              </w:rPr>
              <w:t>OBJECTIF À LONG TERME</w:t>
            </w:r>
          </w:p>
        </w:tc>
        <w:tc>
          <w:tcPr>
            <w:tcW w:w="4860" w:type="dxa"/>
            <w:vAlign w:val="center"/>
          </w:tcPr>
          <w:p w14:paraId="30E621A3" w14:textId="77777777" w:rsidR="00617D18" w:rsidRPr="00CD71E6" w:rsidRDefault="00617D18" w:rsidP="008D5107">
            <w:pPr>
              <w:spacing w:after="0" w:line="240" w:lineRule="auto"/>
              <w:cnfStyle w:val="100000000000" w:firstRow="1" w:lastRow="0" w:firstColumn="0" w:lastColumn="0" w:oddVBand="0" w:evenVBand="0" w:oddHBand="0" w:evenHBand="0" w:firstRowFirstColumn="0" w:firstRowLastColumn="0" w:lastRowFirstColumn="0" w:lastRowLastColumn="0"/>
              <w:rPr>
                <w:sz w:val="24"/>
                <w:lang w:val="fr-CA"/>
              </w:rPr>
            </w:pPr>
            <w:r w:rsidRPr="00CD71E6">
              <w:rPr>
                <w:sz w:val="24"/>
                <w:lang w:val="fr-CA"/>
              </w:rPr>
              <w:t>RÉSULTATS ESCOMPTÉS</w:t>
            </w:r>
          </w:p>
        </w:tc>
      </w:tr>
      <w:tr w:rsidR="00617D18" w:rsidRPr="00B01B52" w14:paraId="20CFE695" w14:textId="77777777" w:rsidTr="008D5107">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4859" w:type="dxa"/>
          </w:tcPr>
          <w:p w14:paraId="6677B9A1" w14:textId="31D9FEBD" w:rsidR="00617D18" w:rsidRPr="00CD71E6" w:rsidRDefault="00617D18" w:rsidP="008D5107">
            <w:pPr>
              <w:spacing w:line="240" w:lineRule="auto"/>
              <w:rPr>
                <w:szCs w:val="22"/>
                <w:lang w:val="fr-CA"/>
              </w:rPr>
            </w:pPr>
            <w:r w:rsidRPr="00CD71E6">
              <w:rPr>
                <w:szCs w:val="22"/>
                <w:lang w:val="fr-CA"/>
              </w:rPr>
              <w:t xml:space="preserve">D’ici dix ans, le CAN accroîtra la représentation inuite à 74 % en : </w:t>
            </w:r>
          </w:p>
          <w:p w14:paraId="1A19331D" w14:textId="77777777" w:rsidR="00617D18" w:rsidRPr="00CD71E6" w:rsidRDefault="00617D18" w:rsidP="0094062C">
            <w:pPr>
              <w:pStyle w:val="ListParagraph"/>
              <w:numPr>
                <w:ilvl w:val="0"/>
                <w:numId w:val="26"/>
              </w:numPr>
              <w:spacing w:after="0" w:line="240" w:lineRule="auto"/>
              <w:rPr>
                <w:b w:val="0"/>
                <w:szCs w:val="22"/>
                <w:lang w:val="fr-CA"/>
              </w:rPr>
            </w:pPr>
            <w:r w:rsidRPr="00CD71E6">
              <w:rPr>
                <w:b w:val="0"/>
                <w:bCs w:val="0"/>
                <w:szCs w:val="22"/>
                <w:lang w:val="fr-CA"/>
              </w:rPr>
              <w:t>Maximisant les possibilités d’emploi offertes aux Inuits dans la catégorie des professionnels.</w:t>
            </w:r>
          </w:p>
          <w:p w14:paraId="35E82844" w14:textId="77777777" w:rsidR="00617D18" w:rsidRPr="00CD71E6" w:rsidRDefault="00617D18" w:rsidP="0094062C">
            <w:pPr>
              <w:pStyle w:val="ListParagraph"/>
              <w:numPr>
                <w:ilvl w:val="0"/>
                <w:numId w:val="26"/>
              </w:numPr>
              <w:rPr>
                <w:b w:val="0"/>
                <w:szCs w:val="22"/>
                <w:lang w:val="fr-CA"/>
              </w:rPr>
            </w:pPr>
            <w:r w:rsidRPr="00CD71E6">
              <w:rPr>
                <w:b w:val="0"/>
                <w:bCs w:val="0"/>
                <w:szCs w:val="22"/>
                <w:lang w:val="fr-CA"/>
              </w:rPr>
              <w:t>Favorisant les candidats inuits pour les postes de cadres supérieurs.</w:t>
            </w:r>
          </w:p>
          <w:p w14:paraId="53CAA49E" w14:textId="77777777" w:rsidR="00617D18" w:rsidRPr="00CD71E6" w:rsidRDefault="00617D18" w:rsidP="0094062C">
            <w:pPr>
              <w:pStyle w:val="ListParagraph"/>
              <w:numPr>
                <w:ilvl w:val="0"/>
                <w:numId w:val="26"/>
              </w:numPr>
              <w:spacing w:after="0" w:line="240" w:lineRule="auto"/>
              <w:rPr>
                <w:b w:val="0"/>
                <w:szCs w:val="22"/>
                <w:lang w:val="fr-CA"/>
              </w:rPr>
            </w:pPr>
            <w:r w:rsidRPr="00CD71E6">
              <w:rPr>
                <w:b w:val="0"/>
                <w:bCs w:val="0"/>
                <w:szCs w:val="22"/>
                <w:lang w:val="fr-CA"/>
              </w:rPr>
              <w:t>Traitant les lacunes du marché du travail dans les postes spécialisés avec des candidats inuits qualifiés.</w:t>
            </w:r>
          </w:p>
        </w:tc>
        <w:tc>
          <w:tcPr>
            <w:tcW w:w="4860" w:type="dxa"/>
          </w:tcPr>
          <w:p w14:paraId="274B6589" w14:textId="1E24C1F6" w:rsidR="00617D18" w:rsidRPr="00CD71E6"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des cadres supérieurs à 5.</w:t>
            </w:r>
          </w:p>
          <w:p w14:paraId="12831250" w14:textId="2734231F" w:rsidR="00617D18" w:rsidRPr="00CD71E6"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des cadres intermédiaires à 17.</w:t>
            </w:r>
          </w:p>
          <w:p w14:paraId="49623CDC" w14:textId="3F855547" w:rsidR="00617D18" w:rsidRPr="00CD71E6"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des professionnels à 76.</w:t>
            </w:r>
          </w:p>
          <w:p w14:paraId="32A937D6" w14:textId="27DD7359" w:rsidR="00617D18" w:rsidRPr="00CD71E6" w:rsidRDefault="00617D18" w:rsidP="008D5107">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szCs w:val="22"/>
                <w:lang w:val="fr-CA"/>
              </w:rPr>
            </w:pPr>
            <w:r w:rsidRPr="00CD71E6">
              <w:rPr>
                <w:szCs w:val="22"/>
                <w:lang w:val="fr-CA"/>
              </w:rPr>
              <w:t>Accroître le nombre d’employés inuits dans la catégorie du soutien administratif à 39.</w:t>
            </w:r>
          </w:p>
        </w:tc>
      </w:tr>
    </w:tbl>
    <w:p w14:paraId="1A7FF1AF" w14:textId="2624DD86" w:rsidR="00617D18" w:rsidRPr="00CD71E6" w:rsidRDefault="00617D18" w:rsidP="000274CF">
      <w:pPr>
        <w:rPr>
          <w:rFonts w:eastAsia="Tw Cen MT"/>
          <w:lang w:val="fr-CA"/>
        </w:rPr>
      </w:pPr>
    </w:p>
    <w:p w14:paraId="6F531B6B" w14:textId="624FCB7C" w:rsidR="00617D18" w:rsidRPr="00CD71E6" w:rsidRDefault="00617D18" w:rsidP="000274CF">
      <w:pPr>
        <w:rPr>
          <w:rFonts w:eastAsia="Tw Cen MT"/>
          <w:lang w:val="fr-CA"/>
        </w:rPr>
      </w:pPr>
    </w:p>
    <w:tbl>
      <w:tblPr>
        <w:tblpPr w:leftFromText="180" w:rightFromText="180" w:vertAnchor="text" w:horzAnchor="margin" w:tblpY="78"/>
        <w:tblW w:w="9720" w:type="dxa"/>
        <w:tblLook w:val="04A0" w:firstRow="1" w:lastRow="0" w:firstColumn="1" w:lastColumn="0" w:noHBand="0" w:noVBand="1"/>
      </w:tblPr>
      <w:tblGrid>
        <w:gridCol w:w="1308"/>
        <w:gridCol w:w="501"/>
        <w:gridCol w:w="1197"/>
        <w:gridCol w:w="1071"/>
        <w:gridCol w:w="945"/>
        <w:gridCol w:w="1296"/>
        <w:gridCol w:w="1161"/>
        <w:gridCol w:w="945"/>
        <w:gridCol w:w="1296"/>
      </w:tblGrid>
      <w:tr w:rsidR="00617D18" w:rsidRPr="00CD71E6" w14:paraId="33B67E83" w14:textId="77777777" w:rsidTr="00B01B52">
        <w:trPr>
          <w:trHeight w:val="331"/>
        </w:trPr>
        <w:tc>
          <w:tcPr>
            <w:tcW w:w="1308" w:type="dxa"/>
            <w:tcBorders>
              <w:top w:val="single" w:sz="2" w:space="0" w:color="auto"/>
              <w:left w:val="single" w:sz="2" w:space="0" w:color="auto"/>
              <w:bottom w:val="single" w:sz="2" w:space="0" w:color="auto"/>
            </w:tcBorders>
            <w:shd w:val="clear" w:color="000000" w:fill="000000"/>
            <w:noWrap/>
            <w:vAlign w:val="center"/>
            <w:hideMark/>
          </w:tcPr>
          <w:p w14:paraId="64CB63B2" w14:textId="77777777" w:rsidR="00617D18" w:rsidRPr="00CD71E6" w:rsidRDefault="00617D18" w:rsidP="008D5107">
            <w:pPr>
              <w:spacing w:after="0" w:line="240" w:lineRule="auto"/>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 </w:t>
            </w:r>
          </w:p>
        </w:tc>
        <w:tc>
          <w:tcPr>
            <w:tcW w:w="501" w:type="dxa"/>
            <w:tcBorders>
              <w:top w:val="single" w:sz="2" w:space="0" w:color="auto"/>
              <w:bottom w:val="single" w:sz="2" w:space="0" w:color="auto"/>
            </w:tcBorders>
            <w:shd w:val="clear" w:color="000000" w:fill="000000"/>
            <w:noWrap/>
            <w:vAlign w:val="center"/>
            <w:hideMark/>
          </w:tcPr>
          <w:p w14:paraId="69BC9DCC" w14:textId="77777777" w:rsidR="00617D18" w:rsidRPr="00CD71E6" w:rsidRDefault="00617D18" w:rsidP="008D5107">
            <w:pPr>
              <w:spacing w:after="0" w:line="240" w:lineRule="auto"/>
              <w:rPr>
                <w:rFonts w:eastAsia="Times New Roman"/>
                <w:b/>
                <w:bCs/>
                <w:color w:val="FFFFFF"/>
                <w:kern w:val="0"/>
                <w:szCs w:val="22"/>
                <w:lang w:val="fr-CA"/>
                <w14:ligatures w14:val="none"/>
              </w:rPr>
            </w:pPr>
          </w:p>
        </w:tc>
        <w:tc>
          <w:tcPr>
            <w:tcW w:w="4509" w:type="dxa"/>
            <w:gridSpan w:val="4"/>
            <w:tcBorders>
              <w:top w:val="single" w:sz="2" w:space="0" w:color="auto"/>
              <w:bottom w:val="single" w:sz="2" w:space="0" w:color="auto"/>
            </w:tcBorders>
            <w:shd w:val="clear" w:color="000000" w:fill="000000"/>
            <w:noWrap/>
            <w:vAlign w:val="center"/>
            <w:hideMark/>
          </w:tcPr>
          <w:p w14:paraId="03FE77CD" w14:textId="77777777" w:rsidR="00617D18" w:rsidRPr="00CD71E6" w:rsidRDefault="00617D18" w:rsidP="008D5107">
            <w:pPr>
              <w:spacing w:after="0" w:line="240" w:lineRule="auto"/>
              <w:jc w:val="center"/>
              <w:rPr>
                <w:rFonts w:eastAsia="Times New Roman"/>
                <w:b/>
                <w:bCs/>
                <w:color w:val="FFFFFF"/>
                <w:kern w:val="0"/>
                <w:sz w:val="24"/>
                <w:szCs w:val="24"/>
                <w:lang w:val="fr-CA"/>
                <w14:ligatures w14:val="none"/>
              </w:rPr>
            </w:pPr>
            <w:r w:rsidRPr="00CD71E6">
              <w:rPr>
                <w:rFonts w:eastAsia="Times New Roman"/>
                <w:b/>
                <w:bCs/>
                <w:color w:val="FFFFFF"/>
                <w:kern w:val="0"/>
                <w:sz w:val="24"/>
                <w:szCs w:val="24"/>
                <w:lang w:val="fr-CA"/>
                <w14:ligatures w14:val="none"/>
              </w:rPr>
              <w:t xml:space="preserve">Nombres actuels (ETP) </w:t>
            </w:r>
          </w:p>
        </w:tc>
        <w:tc>
          <w:tcPr>
            <w:tcW w:w="3402" w:type="dxa"/>
            <w:gridSpan w:val="3"/>
            <w:tcBorders>
              <w:top w:val="single" w:sz="2" w:space="0" w:color="auto"/>
              <w:bottom w:val="single" w:sz="2" w:space="0" w:color="auto"/>
              <w:right w:val="single" w:sz="2" w:space="0" w:color="auto"/>
            </w:tcBorders>
            <w:shd w:val="clear" w:color="000000" w:fill="000000"/>
            <w:vAlign w:val="center"/>
            <w:hideMark/>
          </w:tcPr>
          <w:p w14:paraId="54469B09" w14:textId="5CF0CBC6" w:rsidR="00617D18" w:rsidRPr="00CD71E6" w:rsidRDefault="00617D18" w:rsidP="008D5107">
            <w:pPr>
              <w:spacing w:after="0" w:line="240" w:lineRule="auto"/>
              <w:jc w:val="center"/>
              <w:rPr>
                <w:rFonts w:eastAsia="Times New Roman"/>
                <w:b/>
                <w:bCs/>
                <w:color w:val="FFFFFF"/>
                <w:kern w:val="0"/>
                <w:sz w:val="24"/>
                <w:szCs w:val="24"/>
                <w:lang w:val="fr-CA"/>
                <w14:ligatures w14:val="none"/>
              </w:rPr>
            </w:pPr>
            <w:r w:rsidRPr="00CD71E6">
              <w:rPr>
                <w:rFonts w:eastAsia="Times New Roman"/>
                <w:b/>
                <w:bCs/>
                <w:color w:val="FFFFFF"/>
                <w:kern w:val="0"/>
                <w:sz w:val="24"/>
                <w:szCs w:val="24"/>
                <w:lang w:val="fr-CA"/>
                <w14:ligatures w14:val="none"/>
              </w:rPr>
              <w:t>À long terme (ETP) :</w:t>
            </w:r>
          </w:p>
        </w:tc>
      </w:tr>
      <w:tr w:rsidR="00617D18" w:rsidRPr="00B01B52" w14:paraId="2B00D74F" w14:textId="77777777" w:rsidTr="00B01B52">
        <w:trPr>
          <w:trHeight w:val="331"/>
        </w:trPr>
        <w:tc>
          <w:tcPr>
            <w:tcW w:w="1308" w:type="dxa"/>
            <w:tcBorders>
              <w:left w:val="single" w:sz="2" w:space="0" w:color="auto"/>
              <w:bottom w:val="single" w:sz="2" w:space="0" w:color="auto"/>
            </w:tcBorders>
            <w:shd w:val="clear" w:color="000000" w:fill="000000"/>
            <w:noWrap/>
            <w:vAlign w:val="center"/>
            <w:hideMark/>
          </w:tcPr>
          <w:p w14:paraId="7B20440C" w14:textId="77777777" w:rsidR="00617D18" w:rsidRPr="00CD71E6" w:rsidRDefault="00617D18" w:rsidP="008D5107">
            <w:pPr>
              <w:spacing w:after="0" w:line="240" w:lineRule="auto"/>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 </w:t>
            </w:r>
          </w:p>
        </w:tc>
        <w:tc>
          <w:tcPr>
            <w:tcW w:w="501" w:type="dxa"/>
            <w:tcBorders>
              <w:bottom w:val="single" w:sz="2" w:space="0" w:color="auto"/>
            </w:tcBorders>
            <w:shd w:val="clear" w:color="000000" w:fill="000000"/>
            <w:noWrap/>
            <w:vAlign w:val="center"/>
            <w:hideMark/>
          </w:tcPr>
          <w:p w14:paraId="1FDF861C" w14:textId="77777777" w:rsidR="00617D18" w:rsidRPr="00CD71E6" w:rsidRDefault="00617D18" w:rsidP="008D5107">
            <w:pPr>
              <w:spacing w:after="0" w:line="240" w:lineRule="auto"/>
              <w:rPr>
                <w:rFonts w:eastAsia="Times New Roman"/>
                <w:b/>
                <w:bCs/>
                <w:color w:val="FFFFFF"/>
                <w:kern w:val="0"/>
                <w:szCs w:val="22"/>
                <w:lang w:val="fr-CA"/>
                <w14:ligatures w14:val="none"/>
              </w:rPr>
            </w:pPr>
            <w:r w:rsidRPr="00CD71E6">
              <w:rPr>
                <w:rFonts w:eastAsia="Times New Roman"/>
                <w:b/>
                <w:bCs/>
                <w:color w:val="FFFFFF"/>
                <w:kern w:val="0"/>
                <w:szCs w:val="22"/>
                <w:lang w:val="fr-CA"/>
                <w14:ligatures w14:val="none"/>
              </w:rPr>
              <w:t> </w:t>
            </w:r>
          </w:p>
        </w:tc>
        <w:tc>
          <w:tcPr>
            <w:tcW w:w="4509" w:type="dxa"/>
            <w:gridSpan w:val="4"/>
            <w:tcBorders>
              <w:bottom w:val="single" w:sz="2" w:space="0" w:color="auto"/>
            </w:tcBorders>
            <w:shd w:val="clear" w:color="000000" w:fill="000000"/>
            <w:noWrap/>
            <w:vAlign w:val="center"/>
            <w:hideMark/>
          </w:tcPr>
          <w:p w14:paraId="5D289C7D" w14:textId="77777777" w:rsidR="00617D18" w:rsidRPr="00CD71E6" w:rsidRDefault="00617D18" w:rsidP="008D5107">
            <w:pPr>
              <w:spacing w:after="0" w:line="240" w:lineRule="auto"/>
              <w:jc w:val="center"/>
              <w:rPr>
                <w:rFonts w:eastAsia="Times New Roman"/>
                <w:b/>
                <w:bCs/>
                <w:color w:val="FFFFFF"/>
                <w:kern w:val="0"/>
                <w:sz w:val="24"/>
                <w:szCs w:val="24"/>
                <w:lang w:val="fr-CA"/>
                <w14:ligatures w14:val="none"/>
              </w:rPr>
            </w:pPr>
            <w:r w:rsidRPr="00CD71E6">
              <w:rPr>
                <w:rFonts w:eastAsia="Times New Roman"/>
                <w:b/>
                <w:bCs/>
                <w:color w:val="FFFFFF"/>
                <w:kern w:val="0"/>
                <w:sz w:val="24"/>
                <w:szCs w:val="24"/>
                <w:lang w:val="fr-CA"/>
                <w14:ligatures w14:val="none"/>
              </w:rPr>
              <w:t>31 mars 2019</w:t>
            </w:r>
          </w:p>
        </w:tc>
        <w:tc>
          <w:tcPr>
            <w:tcW w:w="3402" w:type="dxa"/>
            <w:gridSpan w:val="3"/>
            <w:tcBorders>
              <w:bottom w:val="single" w:sz="2" w:space="0" w:color="auto"/>
              <w:right w:val="single" w:sz="2" w:space="0" w:color="auto"/>
            </w:tcBorders>
            <w:shd w:val="clear" w:color="000000" w:fill="000000"/>
            <w:vAlign w:val="center"/>
            <w:hideMark/>
          </w:tcPr>
          <w:p w14:paraId="7A0849B6" w14:textId="195E9182" w:rsidR="00617D18" w:rsidRPr="00CD71E6" w:rsidRDefault="00617D18" w:rsidP="008D5107">
            <w:pPr>
              <w:spacing w:after="0" w:line="240" w:lineRule="auto"/>
              <w:jc w:val="center"/>
              <w:rPr>
                <w:rFonts w:eastAsia="Times New Roman"/>
                <w:b/>
                <w:bCs/>
                <w:color w:val="FFFFFF"/>
                <w:kern w:val="0"/>
                <w:sz w:val="24"/>
                <w:szCs w:val="24"/>
                <w:lang w:val="fr-CA"/>
                <w14:ligatures w14:val="none"/>
              </w:rPr>
            </w:pPr>
            <w:r w:rsidRPr="00CD71E6">
              <w:rPr>
                <w:rFonts w:eastAsia="Times New Roman"/>
                <w:b/>
                <w:bCs/>
                <w:color w:val="FFFFFF"/>
                <w:kern w:val="0"/>
                <w:sz w:val="24"/>
                <w:szCs w:val="24"/>
                <w:lang w:val="fr-CA"/>
                <w14:ligatures w14:val="none"/>
              </w:rPr>
              <w:t>Dans les dix ans après 2017</w:t>
            </w:r>
          </w:p>
        </w:tc>
      </w:tr>
      <w:tr w:rsidR="00617D18" w:rsidRPr="004373E7" w14:paraId="27494DC8" w14:textId="77777777" w:rsidTr="00B01B52">
        <w:trPr>
          <w:trHeight w:val="532"/>
        </w:trPr>
        <w:tc>
          <w:tcPr>
            <w:tcW w:w="1809" w:type="dxa"/>
            <w:gridSpan w:val="2"/>
            <w:vMerge w:val="restart"/>
            <w:tcBorders>
              <w:left w:val="single" w:sz="2" w:space="0" w:color="auto"/>
              <w:bottom w:val="single" w:sz="2" w:space="0" w:color="auto"/>
            </w:tcBorders>
            <w:shd w:val="clear" w:color="000000" w:fill="000000"/>
            <w:vAlign w:val="center"/>
            <w:hideMark/>
          </w:tcPr>
          <w:p w14:paraId="5A50C5D8" w14:textId="77777777" w:rsidR="00617D18" w:rsidRPr="00CD71E6" w:rsidRDefault="00617D18" w:rsidP="008D5107">
            <w:pPr>
              <w:spacing w:after="0" w:line="240" w:lineRule="auto"/>
              <w:jc w:val="center"/>
              <w:rPr>
                <w:rFonts w:eastAsia="Times New Roman"/>
                <w:color w:val="FFFFFF"/>
                <w:kern w:val="0"/>
                <w:szCs w:val="22"/>
                <w:lang w:val="fr-CA"/>
                <w14:ligatures w14:val="none"/>
              </w:rPr>
            </w:pPr>
            <w:r w:rsidRPr="00CD71E6">
              <w:rPr>
                <w:rFonts w:eastAsia="Times New Roman"/>
                <w:color w:val="FFFFFF"/>
                <w:kern w:val="0"/>
                <w:szCs w:val="22"/>
                <w:lang w:val="fr-CA"/>
                <w14:ligatures w14:val="none"/>
              </w:rPr>
              <w:t>Catégorie d’emploi</w:t>
            </w:r>
          </w:p>
        </w:tc>
        <w:tc>
          <w:tcPr>
            <w:tcW w:w="1197" w:type="dxa"/>
            <w:vMerge w:val="restart"/>
            <w:tcBorders>
              <w:bottom w:val="single" w:sz="2" w:space="0" w:color="auto"/>
            </w:tcBorders>
            <w:shd w:val="clear" w:color="000000" w:fill="000000"/>
            <w:vAlign w:val="center"/>
            <w:hideMark/>
          </w:tcPr>
          <w:p w14:paraId="67C2C8A2" w14:textId="77777777" w:rsidR="00617D18" w:rsidRPr="00CD71E6" w:rsidRDefault="00617D18" w:rsidP="008D5107">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Nombre total de postes</w:t>
            </w:r>
          </w:p>
        </w:tc>
        <w:tc>
          <w:tcPr>
            <w:tcW w:w="1071" w:type="dxa"/>
            <w:vMerge w:val="restart"/>
            <w:tcBorders>
              <w:bottom w:val="single" w:sz="2" w:space="0" w:color="auto"/>
            </w:tcBorders>
            <w:shd w:val="clear" w:color="000000" w:fill="000000"/>
            <w:vAlign w:val="center"/>
            <w:hideMark/>
          </w:tcPr>
          <w:p w14:paraId="3697CE89" w14:textId="1D383061" w:rsidR="00617D18" w:rsidRPr="00CD71E6" w:rsidRDefault="00617D18" w:rsidP="00C21C2A">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 xml:space="preserve">Nombre </w:t>
            </w:r>
            <w:r w:rsidR="00C21C2A" w:rsidRPr="00CD71E6">
              <w:rPr>
                <w:rFonts w:eastAsia="Times New Roman"/>
                <w:color w:val="FFFFFF"/>
                <w:kern w:val="0"/>
                <w:sz w:val="18"/>
                <w:szCs w:val="18"/>
                <w:lang w:val="fr-CA"/>
                <w14:ligatures w14:val="none"/>
              </w:rPr>
              <w:t>de</w:t>
            </w:r>
            <w:r w:rsidR="00C21C2A">
              <w:rPr>
                <w:rFonts w:eastAsia="Times New Roman"/>
                <w:color w:val="FFFFFF"/>
                <w:kern w:val="0"/>
                <w:sz w:val="18"/>
                <w:szCs w:val="18"/>
                <w:lang w:val="fr-CA"/>
                <w14:ligatures w14:val="none"/>
              </w:rPr>
              <w:t> </w:t>
            </w:r>
            <w:r w:rsidRPr="00CD71E6">
              <w:rPr>
                <w:rFonts w:eastAsia="Times New Roman"/>
                <w:color w:val="FFFFFF"/>
                <w:kern w:val="0"/>
                <w:sz w:val="18"/>
                <w:szCs w:val="18"/>
                <w:lang w:val="fr-CA"/>
                <w14:ligatures w14:val="none"/>
              </w:rPr>
              <w:t>postes pourvus</w:t>
            </w:r>
          </w:p>
        </w:tc>
        <w:tc>
          <w:tcPr>
            <w:tcW w:w="945" w:type="dxa"/>
            <w:vMerge w:val="restart"/>
            <w:tcBorders>
              <w:bottom w:val="single" w:sz="2" w:space="0" w:color="auto"/>
            </w:tcBorders>
            <w:shd w:val="clear" w:color="000000" w:fill="000000"/>
            <w:vAlign w:val="center"/>
            <w:hideMark/>
          </w:tcPr>
          <w:p w14:paraId="78DB35E2" w14:textId="77777777" w:rsidR="00617D18" w:rsidRPr="00CD71E6" w:rsidRDefault="00617D18" w:rsidP="008D5107">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Emplois occupés par des Inuits</w:t>
            </w:r>
          </w:p>
        </w:tc>
        <w:tc>
          <w:tcPr>
            <w:tcW w:w="1296" w:type="dxa"/>
            <w:vMerge w:val="restart"/>
            <w:tcBorders>
              <w:bottom w:val="single" w:sz="2" w:space="0" w:color="auto"/>
            </w:tcBorders>
            <w:shd w:val="clear" w:color="000000" w:fill="000000"/>
            <w:vAlign w:val="center"/>
            <w:hideMark/>
          </w:tcPr>
          <w:p w14:paraId="0CAF1052" w14:textId="77777777" w:rsidR="00617D18" w:rsidRPr="00CD71E6" w:rsidRDefault="00617D18" w:rsidP="008D5107">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 du plan d’embauchage des Inuits</w:t>
            </w:r>
          </w:p>
        </w:tc>
        <w:tc>
          <w:tcPr>
            <w:tcW w:w="1161" w:type="dxa"/>
            <w:vMerge w:val="restart"/>
            <w:tcBorders>
              <w:bottom w:val="single" w:sz="2" w:space="0" w:color="auto"/>
            </w:tcBorders>
            <w:shd w:val="clear" w:color="000000" w:fill="000000"/>
            <w:vAlign w:val="center"/>
            <w:hideMark/>
          </w:tcPr>
          <w:p w14:paraId="3311DEF3" w14:textId="77777777" w:rsidR="00617D18" w:rsidRPr="00CD71E6" w:rsidRDefault="00617D18" w:rsidP="008D5107">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Postes pourvus</w:t>
            </w:r>
          </w:p>
        </w:tc>
        <w:tc>
          <w:tcPr>
            <w:tcW w:w="945" w:type="dxa"/>
            <w:vMerge w:val="restart"/>
            <w:tcBorders>
              <w:bottom w:val="single" w:sz="2" w:space="0" w:color="auto"/>
              <w:right w:val="single" w:sz="2" w:space="0" w:color="auto"/>
            </w:tcBorders>
            <w:shd w:val="clear" w:color="000000" w:fill="000000"/>
            <w:vAlign w:val="center"/>
            <w:hideMark/>
          </w:tcPr>
          <w:p w14:paraId="4FA2DCDA" w14:textId="77777777" w:rsidR="00617D18" w:rsidRPr="00CD71E6" w:rsidRDefault="00617D18" w:rsidP="008D5107">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Emplois occupés par des Inuits</w:t>
            </w:r>
          </w:p>
        </w:tc>
        <w:tc>
          <w:tcPr>
            <w:tcW w:w="1296" w:type="dxa"/>
            <w:vMerge w:val="restart"/>
            <w:tcBorders>
              <w:left w:val="single" w:sz="2" w:space="0" w:color="auto"/>
            </w:tcBorders>
            <w:shd w:val="clear" w:color="000000" w:fill="000000"/>
            <w:vAlign w:val="center"/>
            <w:hideMark/>
          </w:tcPr>
          <w:p w14:paraId="35FF8976" w14:textId="77777777" w:rsidR="00617D18" w:rsidRPr="00CD71E6" w:rsidRDefault="00617D18" w:rsidP="008D5107">
            <w:pPr>
              <w:spacing w:after="0" w:line="240" w:lineRule="auto"/>
              <w:jc w:val="center"/>
              <w:rPr>
                <w:rFonts w:eastAsia="Times New Roman"/>
                <w:color w:val="FFFFFF"/>
                <w:kern w:val="0"/>
                <w:sz w:val="18"/>
                <w:szCs w:val="18"/>
                <w:lang w:val="fr-CA"/>
                <w14:ligatures w14:val="none"/>
              </w:rPr>
            </w:pPr>
            <w:r w:rsidRPr="00CD71E6">
              <w:rPr>
                <w:rFonts w:eastAsia="Times New Roman"/>
                <w:color w:val="FFFFFF"/>
                <w:kern w:val="0"/>
                <w:sz w:val="18"/>
                <w:szCs w:val="18"/>
                <w:lang w:val="fr-CA"/>
                <w14:ligatures w14:val="none"/>
              </w:rPr>
              <w:t>% du plan d’embauchage des Inuits</w:t>
            </w:r>
          </w:p>
        </w:tc>
      </w:tr>
      <w:tr w:rsidR="00617D18" w:rsidRPr="004373E7" w14:paraId="726F8A87" w14:textId="77777777" w:rsidTr="00B01B52">
        <w:trPr>
          <w:trHeight w:val="539"/>
        </w:trPr>
        <w:tc>
          <w:tcPr>
            <w:tcW w:w="1809" w:type="dxa"/>
            <w:gridSpan w:val="2"/>
            <w:vMerge/>
            <w:tcBorders>
              <w:left w:val="single" w:sz="2" w:space="0" w:color="auto"/>
              <w:bottom w:val="single" w:sz="2" w:space="0" w:color="auto"/>
            </w:tcBorders>
            <w:vAlign w:val="center"/>
            <w:hideMark/>
          </w:tcPr>
          <w:p w14:paraId="4239CA4C" w14:textId="77777777" w:rsidR="00617D18" w:rsidRPr="00CD71E6" w:rsidRDefault="00617D18" w:rsidP="008D5107">
            <w:pPr>
              <w:spacing w:after="0" w:line="240" w:lineRule="auto"/>
              <w:rPr>
                <w:rFonts w:eastAsia="Times New Roman"/>
                <w:color w:val="FFFFFF"/>
                <w:kern w:val="0"/>
                <w:szCs w:val="22"/>
                <w:lang w:val="fr-CA"/>
                <w14:ligatures w14:val="none"/>
              </w:rPr>
            </w:pPr>
          </w:p>
        </w:tc>
        <w:tc>
          <w:tcPr>
            <w:tcW w:w="1197" w:type="dxa"/>
            <w:vMerge/>
            <w:tcBorders>
              <w:bottom w:val="single" w:sz="2" w:space="0" w:color="auto"/>
            </w:tcBorders>
            <w:vAlign w:val="center"/>
            <w:hideMark/>
          </w:tcPr>
          <w:p w14:paraId="3E129AE1" w14:textId="77777777" w:rsidR="00617D18" w:rsidRPr="00CD71E6" w:rsidRDefault="00617D18" w:rsidP="008D5107">
            <w:pPr>
              <w:spacing w:after="0" w:line="240" w:lineRule="auto"/>
              <w:rPr>
                <w:rFonts w:eastAsia="Times New Roman"/>
                <w:color w:val="FFFFFF"/>
                <w:kern w:val="0"/>
                <w:sz w:val="18"/>
                <w:szCs w:val="18"/>
                <w:lang w:val="fr-CA"/>
                <w14:ligatures w14:val="none"/>
              </w:rPr>
            </w:pPr>
          </w:p>
        </w:tc>
        <w:tc>
          <w:tcPr>
            <w:tcW w:w="1071" w:type="dxa"/>
            <w:vMerge/>
            <w:tcBorders>
              <w:bottom w:val="single" w:sz="2" w:space="0" w:color="auto"/>
            </w:tcBorders>
            <w:vAlign w:val="center"/>
            <w:hideMark/>
          </w:tcPr>
          <w:p w14:paraId="6ACC7856" w14:textId="77777777" w:rsidR="00617D18" w:rsidRPr="00CD71E6" w:rsidRDefault="00617D18" w:rsidP="008D5107">
            <w:pPr>
              <w:spacing w:after="0" w:line="240" w:lineRule="auto"/>
              <w:rPr>
                <w:rFonts w:eastAsia="Times New Roman"/>
                <w:color w:val="FFFFFF"/>
                <w:kern w:val="0"/>
                <w:sz w:val="18"/>
                <w:szCs w:val="18"/>
                <w:lang w:val="fr-CA"/>
                <w14:ligatures w14:val="none"/>
              </w:rPr>
            </w:pPr>
          </w:p>
        </w:tc>
        <w:tc>
          <w:tcPr>
            <w:tcW w:w="945" w:type="dxa"/>
            <w:vMerge/>
            <w:tcBorders>
              <w:bottom w:val="single" w:sz="2" w:space="0" w:color="auto"/>
            </w:tcBorders>
            <w:vAlign w:val="center"/>
            <w:hideMark/>
          </w:tcPr>
          <w:p w14:paraId="413169D6" w14:textId="77777777" w:rsidR="00617D18" w:rsidRPr="00CD71E6" w:rsidRDefault="00617D18" w:rsidP="008D5107">
            <w:pPr>
              <w:spacing w:after="0" w:line="240" w:lineRule="auto"/>
              <w:rPr>
                <w:rFonts w:eastAsia="Times New Roman"/>
                <w:color w:val="FFFFFF"/>
                <w:kern w:val="0"/>
                <w:sz w:val="18"/>
                <w:szCs w:val="18"/>
                <w:lang w:val="fr-CA"/>
                <w14:ligatures w14:val="none"/>
              </w:rPr>
            </w:pPr>
          </w:p>
        </w:tc>
        <w:tc>
          <w:tcPr>
            <w:tcW w:w="1296" w:type="dxa"/>
            <w:vMerge/>
            <w:tcBorders>
              <w:bottom w:val="single" w:sz="2" w:space="0" w:color="auto"/>
            </w:tcBorders>
            <w:vAlign w:val="center"/>
            <w:hideMark/>
          </w:tcPr>
          <w:p w14:paraId="1FB6147B" w14:textId="77777777" w:rsidR="00617D18" w:rsidRPr="00CD71E6" w:rsidRDefault="00617D18" w:rsidP="008D5107">
            <w:pPr>
              <w:spacing w:after="0" w:line="240" w:lineRule="auto"/>
              <w:rPr>
                <w:rFonts w:eastAsia="Times New Roman"/>
                <w:color w:val="FFFFFF"/>
                <w:kern w:val="0"/>
                <w:sz w:val="18"/>
                <w:szCs w:val="18"/>
                <w:lang w:val="fr-CA"/>
                <w14:ligatures w14:val="none"/>
              </w:rPr>
            </w:pPr>
          </w:p>
        </w:tc>
        <w:tc>
          <w:tcPr>
            <w:tcW w:w="1161" w:type="dxa"/>
            <w:vMerge/>
            <w:tcBorders>
              <w:bottom w:val="single" w:sz="2" w:space="0" w:color="auto"/>
            </w:tcBorders>
            <w:vAlign w:val="center"/>
            <w:hideMark/>
          </w:tcPr>
          <w:p w14:paraId="273C6F14" w14:textId="77777777" w:rsidR="00617D18" w:rsidRPr="00CD71E6" w:rsidRDefault="00617D18" w:rsidP="008D5107">
            <w:pPr>
              <w:spacing w:after="0" w:line="240" w:lineRule="auto"/>
              <w:rPr>
                <w:rFonts w:eastAsia="Times New Roman"/>
                <w:color w:val="FFFFFF"/>
                <w:kern w:val="0"/>
                <w:sz w:val="18"/>
                <w:szCs w:val="18"/>
                <w:lang w:val="fr-CA"/>
                <w14:ligatures w14:val="none"/>
              </w:rPr>
            </w:pPr>
          </w:p>
        </w:tc>
        <w:tc>
          <w:tcPr>
            <w:tcW w:w="945" w:type="dxa"/>
            <w:vMerge/>
            <w:tcBorders>
              <w:bottom w:val="single" w:sz="2" w:space="0" w:color="auto"/>
              <w:right w:val="single" w:sz="2" w:space="0" w:color="auto"/>
            </w:tcBorders>
            <w:vAlign w:val="center"/>
            <w:hideMark/>
          </w:tcPr>
          <w:p w14:paraId="547E152D" w14:textId="77777777" w:rsidR="00617D18" w:rsidRPr="00CD71E6" w:rsidRDefault="00617D18" w:rsidP="008D5107">
            <w:pPr>
              <w:spacing w:after="0" w:line="240" w:lineRule="auto"/>
              <w:rPr>
                <w:rFonts w:eastAsia="Times New Roman"/>
                <w:color w:val="FFFFFF"/>
                <w:kern w:val="0"/>
                <w:sz w:val="18"/>
                <w:szCs w:val="18"/>
                <w:lang w:val="fr-CA"/>
                <w14:ligatures w14:val="none"/>
              </w:rPr>
            </w:pPr>
          </w:p>
        </w:tc>
        <w:tc>
          <w:tcPr>
            <w:tcW w:w="1296" w:type="dxa"/>
            <w:vMerge/>
            <w:tcBorders>
              <w:left w:val="single" w:sz="2" w:space="0" w:color="auto"/>
              <w:bottom w:val="single" w:sz="2" w:space="0" w:color="auto"/>
            </w:tcBorders>
            <w:vAlign w:val="center"/>
            <w:hideMark/>
          </w:tcPr>
          <w:p w14:paraId="03FF410F" w14:textId="77777777" w:rsidR="00617D18" w:rsidRPr="00CD71E6" w:rsidRDefault="00617D18" w:rsidP="008D5107">
            <w:pPr>
              <w:spacing w:after="0" w:line="240" w:lineRule="auto"/>
              <w:rPr>
                <w:rFonts w:eastAsia="Times New Roman"/>
                <w:color w:val="FFFFFF"/>
                <w:kern w:val="0"/>
                <w:sz w:val="18"/>
                <w:szCs w:val="18"/>
                <w:lang w:val="fr-CA"/>
                <w14:ligatures w14:val="none"/>
              </w:rPr>
            </w:pPr>
          </w:p>
        </w:tc>
      </w:tr>
      <w:tr w:rsidR="00617D18" w:rsidRPr="00CD71E6" w14:paraId="32492B04"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225215" w14:textId="77777777" w:rsidR="00617D18" w:rsidRPr="00CD71E6" w:rsidRDefault="00617D18" w:rsidP="00617D18">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direction</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BB3BEFB"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09B26460"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945" w:type="dxa"/>
            <w:tcBorders>
              <w:top w:val="single" w:sz="2" w:space="0" w:color="auto"/>
              <w:bottom w:val="single" w:sz="2" w:space="0" w:color="auto"/>
            </w:tcBorders>
            <w:shd w:val="clear" w:color="auto" w:fill="auto"/>
            <w:noWrap/>
            <w:vAlign w:val="center"/>
            <w:hideMark/>
          </w:tcPr>
          <w:p w14:paraId="1BC16B67" w14:textId="064545BD"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w:t>
            </w:r>
            <w:r w:rsidR="00C21C2A">
              <w:rPr>
                <w:rFonts w:eastAsia="Times New Roman"/>
                <w:color w:val="000000"/>
                <w:kern w:val="0"/>
                <w:sz w:val="20"/>
                <w:lang w:val="fr-CA"/>
                <w14:ligatures w14:val="none"/>
              </w:rPr>
              <w:t>,00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66420E8E"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50 %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0F354A03" w14:textId="65533192"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945" w:type="dxa"/>
            <w:tcBorders>
              <w:top w:val="single" w:sz="2" w:space="0" w:color="auto"/>
              <w:bottom w:val="single" w:sz="2" w:space="0" w:color="auto"/>
            </w:tcBorders>
            <w:shd w:val="clear" w:color="auto" w:fill="auto"/>
            <w:noWrap/>
            <w:vAlign w:val="center"/>
            <w:hideMark/>
          </w:tcPr>
          <w:p w14:paraId="0A650233" w14:textId="27650EB9"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60121F57" w14:textId="760D73EA"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100 %</w:t>
            </w:r>
          </w:p>
        </w:tc>
      </w:tr>
      <w:tr w:rsidR="00617D18" w:rsidRPr="00CD71E6" w14:paraId="75983382"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040D33" w14:textId="77777777" w:rsidR="00617D18" w:rsidRPr="00CD71E6" w:rsidRDefault="00617D18" w:rsidP="00617D18">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supérieurs</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7B21B7"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8,00</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48C92832"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7,00</w:t>
            </w:r>
          </w:p>
        </w:tc>
        <w:tc>
          <w:tcPr>
            <w:tcW w:w="945" w:type="dxa"/>
            <w:tcBorders>
              <w:top w:val="single" w:sz="2" w:space="0" w:color="auto"/>
              <w:bottom w:val="single" w:sz="2" w:space="0" w:color="auto"/>
            </w:tcBorders>
            <w:shd w:val="clear" w:color="auto" w:fill="auto"/>
            <w:noWrap/>
            <w:vAlign w:val="center"/>
            <w:hideMark/>
          </w:tcPr>
          <w:p w14:paraId="6817E147"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772A4CD6"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29 %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2CD2AB19" w14:textId="07317C44"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7,00</w:t>
            </w:r>
          </w:p>
        </w:tc>
        <w:tc>
          <w:tcPr>
            <w:tcW w:w="945" w:type="dxa"/>
            <w:tcBorders>
              <w:top w:val="single" w:sz="2" w:space="0" w:color="auto"/>
              <w:bottom w:val="single" w:sz="2" w:space="0" w:color="auto"/>
            </w:tcBorders>
            <w:shd w:val="clear" w:color="auto" w:fill="auto"/>
            <w:noWrap/>
            <w:vAlign w:val="center"/>
            <w:hideMark/>
          </w:tcPr>
          <w:p w14:paraId="28FAB394" w14:textId="0D99C43F"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34C7F1E8" w14:textId="28CA9208"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71 %</w:t>
            </w:r>
          </w:p>
        </w:tc>
      </w:tr>
      <w:tr w:rsidR="00617D18" w:rsidRPr="00CD71E6" w14:paraId="5D865900"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FD0772" w14:textId="77777777" w:rsidR="00617D18" w:rsidRPr="00CD71E6" w:rsidRDefault="00617D18" w:rsidP="00617D18">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cadres intermédiaires</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139F1F"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24,00</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73CC21BB"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21,00</w:t>
            </w:r>
          </w:p>
        </w:tc>
        <w:tc>
          <w:tcPr>
            <w:tcW w:w="945" w:type="dxa"/>
            <w:tcBorders>
              <w:top w:val="single" w:sz="2" w:space="0" w:color="auto"/>
              <w:bottom w:val="single" w:sz="2" w:space="0" w:color="auto"/>
            </w:tcBorders>
            <w:shd w:val="clear" w:color="auto" w:fill="auto"/>
            <w:noWrap/>
            <w:vAlign w:val="center"/>
            <w:hideMark/>
          </w:tcPr>
          <w:p w14:paraId="7936E8FC"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10,00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4A94F4AC"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48 %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4F7B3E54" w14:textId="046D16E5"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25,00</w:t>
            </w:r>
          </w:p>
        </w:tc>
        <w:tc>
          <w:tcPr>
            <w:tcW w:w="945" w:type="dxa"/>
            <w:tcBorders>
              <w:top w:val="single" w:sz="2" w:space="0" w:color="auto"/>
              <w:bottom w:val="single" w:sz="2" w:space="0" w:color="auto"/>
            </w:tcBorders>
            <w:shd w:val="clear" w:color="auto" w:fill="auto"/>
            <w:noWrap/>
            <w:vAlign w:val="center"/>
            <w:hideMark/>
          </w:tcPr>
          <w:p w14:paraId="4613002C" w14:textId="632A269E"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17,00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61FA61C9" w14:textId="3B84690D"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68 %</w:t>
            </w:r>
          </w:p>
        </w:tc>
      </w:tr>
      <w:tr w:rsidR="00617D18" w:rsidRPr="00CD71E6" w14:paraId="6BC2DC10"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112DF2" w14:textId="77777777" w:rsidR="00617D18" w:rsidRPr="00CD71E6" w:rsidRDefault="00617D18" w:rsidP="00617D18">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professionnels</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1C4154"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131,60</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430317FF"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90,00</w:t>
            </w:r>
          </w:p>
        </w:tc>
        <w:tc>
          <w:tcPr>
            <w:tcW w:w="945" w:type="dxa"/>
            <w:tcBorders>
              <w:top w:val="single" w:sz="2" w:space="0" w:color="auto"/>
              <w:bottom w:val="single" w:sz="2" w:space="0" w:color="auto"/>
            </w:tcBorders>
            <w:shd w:val="clear" w:color="auto" w:fill="auto"/>
            <w:noWrap/>
            <w:vAlign w:val="center"/>
            <w:hideMark/>
          </w:tcPr>
          <w:p w14:paraId="68BC5B5D"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35,00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1D09F4CD"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39 %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2201132C" w14:textId="750C7591"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115,00</w:t>
            </w:r>
          </w:p>
        </w:tc>
        <w:tc>
          <w:tcPr>
            <w:tcW w:w="945" w:type="dxa"/>
            <w:tcBorders>
              <w:top w:val="single" w:sz="2" w:space="0" w:color="auto"/>
              <w:bottom w:val="single" w:sz="2" w:space="0" w:color="auto"/>
            </w:tcBorders>
            <w:shd w:val="clear" w:color="auto" w:fill="auto"/>
            <w:noWrap/>
            <w:vAlign w:val="center"/>
            <w:hideMark/>
          </w:tcPr>
          <w:p w14:paraId="1E494964" w14:textId="035A2F70"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76,00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7C9142F6" w14:textId="1AB366F4"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66 %</w:t>
            </w:r>
          </w:p>
        </w:tc>
      </w:tr>
      <w:tr w:rsidR="00617D18" w:rsidRPr="00CD71E6" w14:paraId="39FC85F4"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814607" w14:textId="77777777" w:rsidR="00617D18" w:rsidRPr="00CD71E6" w:rsidRDefault="00617D18" w:rsidP="00617D18">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des paraprofessionnels</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6849E4"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24,50</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62E79761"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13,00</w:t>
            </w:r>
          </w:p>
        </w:tc>
        <w:tc>
          <w:tcPr>
            <w:tcW w:w="945" w:type="dxa"/>
            <w:tcBorders>
              <w:top w:val="single" w:sz="2" w:space="0" w:color="auto"/>
              <w:bottom w:val="single" w:sz="2" w:space="0" w:color="auto"/>
            </w:tcBorders>
            <w:shd w:val="clear" w:color="auto" w:fill="auto"/>
            <w:noWrap/>
            <w:vAlign w:val="center"/>
            <w:hideMark/>
          </w:tcPr>
          <w:p w14:paraId="69A73F20"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502D9520"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69 %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7FBED90B" w14:textId="4FD91354"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20,50</w:t>
            </w:r>
          </w:p>
        </w:tc>
        <w:tc>
          <w:tcPr>
            <w:tcW w:w="945" w:type="dxa"/>
            <w:tcBorders>
              <w:top w:val="single" w:sz="2" w:space="0" w:color="auto"/>
              <w:bottom w:val="single" w:sz="2" w:space="0" w:color="auto"/>
            </w:tcBorders>
            <w:shd w:val="clear" w:color="auto" w:fill="auto"/>
            <w:noWrap/>
            <w:vAlign w:val="center"/>
            <w:hideMark/>
          </w:tcPr>
          <w:p w14:paraId="579974D4" w14:textId="5B4C9148"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18,00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3523D058" w14:textId="5BBE45F1"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88 %</w:t>
            </w:r>
          </w:p>
        </w:tc>
      </w:tr>
      <w:tr w:rsidR="00617D18" w:rsidRPr="00CD71E6" w14:paraId="6208339D"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ABAE25" w14:textId="77777777" w:rsidR="00617D18" w:rsidRPr="00CD71E6" w:rsidRDefault="00617D18" w:rsidP="00617D18">
            <w:pPr>
              <w:spacing w:after="0" w:line="240" w:lineRule="auto"/>
              <w:rPr>
                <w:rFonts w:eastAsia="Times New Roman"/>
                <w:bCs/>
                <w:color w:val="000000"/>
                <w:kern w:val="0"/>
                <w:sz w:val="20"/>
                <w:lang w:val="fr-CA"/>
                <w14:ligatures w14:val="none"/>
              </w:rPr>
            </w:pPr>
            <w:r w:rsidRPr="00CD71E6">
              <w:rPr>
                <w:rFonts w:eastAsia="Times New Roman"/>
                <w:color w:val="000000"/>
                <w:kern w:val="0"/>
                <w:sz w:val="20"/>
                <w:lang w:val="fr-CA"/>
                <w14:ligatures w14:val="none"/>
              </w:rPr>
              <w:t>Total du soutien administratif</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448661"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57,67</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5FE3EEE9"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29,00</w:t>
            </w:r>
          </w:p>
        </w:tc>
        <w:tc>
          <w:tcPr>
            <w:tcW w:w="945" w:type="dxa"/>
            <w:tcBorders>
              <w:top w:val="single" w:sz="2" w:space="0" w:color="auto"/>
              <w:bottom w:val="single" w:sz="2" w:space="0" w:color="auto"/>
            </w:tcBorders>
            <w:shd w:val="clear" w:color="auto" w:fill="auto"/>
            <w:noWrap/>
            <w:vAlign w:val="center"/>
            <w:hideMark/>
          </w:tcPr>
          <w:p w14:paraId="465138E9"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25,00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350129D2" w14:textId="77777777"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86 %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08AE3BB4" w14:textId="411D8560"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42,00</w:t>
            </w:r>
          </w:p>
        </w:tc>
        <w:tc>
          <w:tcPr>
            <w:tcW w:w="945" w:type="dxa"/>
            <w:tcBorders>
              <w:top w:val="single" w:sz="2" w:space="0" w:color="auto"/>
              <w:bottom w:val="single" w:sz="2" w:space="0" w:color="auto"/>
            </w:tcBorders>
            <w:shd w:val="clear" w:color="auto" w:fill="auto"/>
            <w:noWrap/>
            <w:vAlign w:val="center"/>
            <w:hideMark/>
          </w:tcPr>
          <w:p w14:paraId="1F3516C6" w14:textId="230351CC"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39,00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52B76E1D" w14:textId="462D6E68" w:rsidR="00617D18" w:rsidRPr="00CD71E6" w:rsidRDefault="00617D18" w:rsidP="00617D18">
            <w:pPr>
              <w:spacing w:after="0" w:line="240" w:lineRule="auto"/>
              <w:jc w:val="center"/>
              <w:rPr>
                <w:rFonts w:eastAsia="Times New Roman"/>
                <w:bCs/>
                <w:color w:val="000000"/>
                <w:kern w:val="0"/>
                <w:sz w:val="20"/>
                <w:lang w:val="fr-CA"/>
                <w14:ligatures w14:val="none"/>
              </w:rPr>
            </w:pPr>
            <w:r w:rsidRPr="00CD71E6">
              <w:rPr>
                <w:rFonts w:eastAsia="Times New Roman"/>
                <w:color w:val="000000"/>
                <w:kern w:val="0"/>
                <w:sz w:val="20"/>
                <w:lang w:val="fr-CA"/>
                <w14:ligatures w14:val="none"/>
              </w:rPr>
              <w:t>93 %</w:t>
            </w:r>
          </w:p>
        </w:tc>
      </w:tr>
      <w:tr w:rsidR="00617D18" w:rsidRPr="00CD71E6" w14:paraId="0E77DE00" w14:textId="77777777" w:rsidTr="00B01B52">
        <w:trPr>
          <w:trHeight w:val="301"/>
        </w:trPr>
        <w:tc>
          <w:tcPr>
            <w:tcW w:w="180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B0E925" w14:textId="77777777" w:rsidR="00617D18" w:rsidRPr="00CD71E6" w:rsidRDefault="00617D18" w:rsidP="00617D18">
            <w:pPr>
              <w:spacing w:after="0" w:line="240" w:lineRule="auto"/>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Total des catégories d’emploi</w:t>
            </w:r>
          </w:p>
        </w:tc>
        <w:tc>
          <w:tcPr>
            <w:tcW w:w="119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0ED2BD8" w14:textId="77777777"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247,77</w:t>
            </w:r>
          </w:p>
        </w:tc>
        <w:tc>
          <w:tcPr>
            <w:tcW w:w="1071" w:type="dxa"/>
            <w:tcBorders>
              <w:top w:val="single" w:sz="2" w:space="0" w:color="auto"/>
              <w:left w:val="single" w:sz="2" w:space="0" w:color="auto"/>
              <w:bottom w:val="single" w:sz="2" w:space="0" w:color="auto"/>
            </w:tcBorders>
            <w:shd w:val="clear" w:color="auto" w:fill="auto"/>
            <w:noWrap/>
            <w:vAlign w:val="center"/>
            <w:hideMark/>
          </w:tcPr>
          <w:p w14:paraId="55B803F7" w14:textId="77777777"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162,00</w:t>
            </w:r>
          </w:p>
        </w:tc>
        <w:tc>
          <w:tcPr>
            <w:tcW w:w="945" w:type="dxa"/>
            <w:tcBorders>
              <w:top w:val="single" w:sz="2" w:space="0" w:color="auto"/>
              <w:bottom w:val="single" w:sz="2" w:space="0" w:color="auto"/>
            </w:tcBorders>
            <w:shd w:val="clear" w:color="auto" w:fill="auto"/>
            <w:noWrap/>
            <w:vAlign w:val="center"/>
            <w:hideMark/>
          </w:tcPr>
          <w:p w14:paraId="0F7CF65F" w14:textId="77777777"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82,00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4804539B" w14:textId="77777777"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51 %</w:t>
            </w:r>
          </w:p>
        </w:tc>
        <w:tc>
          <w:tcPr>
            <w:tcW w:w="1161" w:type="dxa"/>
            <w:tcBorders>
              <w:top w:val="single" w:sz="2" w:space="0" w:color="auto"/>
              <w:left w:val="single" w:sz="2" w:space="0" w:color="auto"/>
              <w:bottom w:val="single" w:sz="2" w:space="0" w:color="auto"/>
            </w:tcBorders>
            <w:shd w:val="clear" w:color="auto" w:fill="auto"/>
            <w:noWrap/>
            <w:vAlign w:val="center"/>
            <w:hideMark/>
          </w:tcPr>
          <w:p w14:paraId="69084AE1" w14:textId="6033B4B2"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211,50</w:t>
            </w:r>
          </w:p>
        </w:tc>
        <w:tc>
          <w:tcPr>
            <w:tcW w:w="945" w:type="dxa"/>
            <w:tcBorders>
              <w:top w:val="single" w:sz="2" w:space="0" w:color="auto"/>
              <w:bottom w:val="single" w:sz="2" w:space="0" w:color="auto"/>
            </w:tcBorders>
            <w:shd w:val="clear" w:color="auto" w:fill="auto"/>
            <w:noWrap/>
            <w:vAlign w:val="center"/>
            <w:hideMark/>
          </w:tcPr>
          <w:p w14:paraId="7E2D9751" w14:textId="57942042"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156,00</w:t>
            </w:r>
          </w:p>
        </w:tc>
        <w:tc>
          <w:tcPr>
            <w:tcW w:w="1296" w:type="dxa"/>
            <w:tcBorders>
              <w:top w:val="single" w:sz="2" w:space="0" w:color="auto"/>
              <w:bottom w:val="single" w:sz="2" w:space="0" w:color="auto"/>
              <w:right w:val="single" w:sz="2" w:space="0" w:color="auto"/>
            </w:tcBorders>
            <w:shd w:val="clear" w:color="auto" w:fill="auto"/>
            <w:noWrap/>
            <w:vAlign w:val="center"/>
            <w:hideMark/>
          </w:tcPr>
          <w:p w14:paraId="3612E8C0" w14:textId="5210A519" w:rsidR="00617D18" w:rsidRPr="00CD71E6" w:rsidRDefault="00617D18" w:rsidP="00617D18">
            <w:pPr>
              <w:spacing w:after="0" w:line="240" w:lineRule="auto"/>
              <w:jc w:val="center"/>
              <w:rPr>
                <w:rFonts w:eastAsia="Times New Roman"/>
                <w:b/>
                <w:bCs/>
                <w:color w:val="000000"/>
                <w:kern w:val="0"/>
                <w:sz w:val="20"/>
                <w:lang w:val="fr-CA"/>
                <w14:ligatures w14:val="none"/>
              </w:rPr>
            </w:pPr>
            <w:r w:rsidRPr="00CD71E6">
              <w:rPr>
                <w:rFonts w:eastAsia="Times New Roman"/>
                <w:b/>
                <w:bCs/>
                <w:color w:val="000000"/>
                <w:kern w:val="0"/>
                <w:sz w:val="20"/>
                <w:lang w:val="fr-CA"/>
                <w14:ligatures w14:val="none"/>
              </w:rPr>
              <w:t>74 %</w:t>
            </w:r>
          </w:p>
        </w:tc>
      </w:tr>
    </w:tbl>
    <w:p w14:paraId="2A3E3861" w14:textId="30059D08" w:rsidR="00617D18" w:rsidRPr="00CD71E6" w:rsidRDefault="00617D18" w:rsidP="000274CF">
      <w:pPr>
        <w:rPr>
          <w:rFonts w:eastAsia="Tw Cen MT"/>
          <w:lang w:val="fr-CA"/>
        </w:rPr>
      </w:pPr>
    </w:p>
    <w:p w14:paraId="626613CC" w14:textId="77777777" w:rsidR="00617D18" w:rsidRPr="00CD71E6" w:rsidRDefault="00617D18" w:rsidP="000274CF">
      <w:pPr>
        <w:rPr>
          <w:rFonts w:eastAsia="Tw Cen MT"/>
          <w:lang w:val="fr-CA"/>
        </w:rPr>
      </w:pPr>
    </w:p>
    <w:p w14:paraId="52CA8A7F" w14:textId="3F300806" w:rsidR="00617D18" w:rsidRPr="00CD71E6" w:rsidRDefault="00617D18" w:rsidP="000274CF">
      <w:pPr>
        <w:rPr>
          <w:rFonts w:eastAsia="Tw Cen MT"/>
          <w:lang w:val="fr-CA"/>
        </w:rPr>
      </w:pPr>
    </w:p>
    <w:p w14:paraId="61A170D6" w14:textId="178B8FC8" w:rsidR="006352C6" w:rsidRPr="00CD71E6" w:rsidRDefault="006352C6" w:rsidP="000274CF">
      <w:pPr>
        <w:pStyle w:val="Heading2"/>
        <w:rPr>
          <w:lang w:val="fr-CA"/>
        </w:rPr>
      </w:pPr>
      <w:bookmarkStart w:id="88" w:name="_Toc504313758"/>
    </w:p>
    <w:p w14:paraId="2F1A88EA" w14:textId="2FD7F9BA" w:rsidR="001504F0" w:rsidRPr="00CD71E6" w:rsidRDefault="001504F0" w:rsidP="00A04F3E">
      <w:pPr>
        <w:pStyle w:val="Heading2"/>
        <w:rPr>
          <w:lang w:val="fr-CA"/>
        </w:rPr>
      </w:pPr>
      <w:bookmarkStart w:id="89" w:name="_Toc41053734"/>
      <w:bookmarkEnd w:id="88"/>
      <w:r w:rsidRPr="00CD71E6">
        <w:rPr>
          <w:bCs/>
          <w:lang w:val="fr-CA"/>
        </w:rPr>
        <w:lastRenderedPageBreak/>
        <w:t>Objectifs en matière d’élimination des obstacles artificiels</w:t>
      </w:r>
      <w:bookmarkEnd w:id="89"/>
      <w:r w:rsidRPr="00CD71E6">
        <w:rPr>
          <w:bCs/>
          <w:lang w:val="fr-CA"/>
        </w:rPr>
        <w:t xml:space="preserve"> </w:t>
      </w:r>
    </w:p>
    <w:p w14:paraId="1D8DC08E" w14:textId="77777777" w:rsidR="00BE5568" w:rsidRPr="00CD71E6" w:rsidRDefault="00BE5568" w:rsidP="0094062C">
      <w:pPr>
        <w:pStyle w:val="ListParagraph"/>
        <w:numPr>
          <w:ilvl w:val="0"/>
          <w:numId w:val="10"/>
        </w:numPr>
        <w:rPr>
          <w:lang w:val="fr-CA"/>
        </w:rPr>
      </w:pPr>
      <w:r w:rsidRPr="00CD71E6">
        <w:rPr>
          <w:lang w:val="fr-CA"/>
        </w:rPr>
        <w:t>Il ne se fait aucun recrutement ciblé.</w:t>
      </w:r>
    </w:p>
    <w:p w14:paraId="7306DD9A" w14:textId="6220CF97" w:rsidR="00BE5568" w:rsidRPr="00CD71E6" w:rsidRDefault="00BE5568" w:rsidP="0094062C">
      <w:pPr>
        <w:pStyle w:val="ListParagraph"/>
        <w:numPr>
          <w:ilvl w:val="1"/>
          <w:numId w:val="10"/>
        </w:numPr>
        <w:rPr>
          <w:lang w:val="fr-CA"/>
        </w:rPr>
      </w:pPr>
      <w:r w:rsidRPr="00CD71E6">
        <w:rPr>
          <w:lang w:val="fr-CA"/>
        </w:rPr>
        <w:t>Le Collège est doté d’une stratégie de communication provisoire qui cible les futurs jeunes pour les orienter vers les programmes postsecondaires, ce qui aidera à l’embauchage ciblé.</w:t>
      </w:r>
    </w:p>
    <w:p w14:paraId="12F479CE" w14:textId="1FC8C30D" w:rsidR="00BE5568" w:rsidRPr="00CD71E6" w:rsidRDefault="00BE5568" w:rsidP="0094062C">
      <w:pPr>
        <w:pStyle w:val="ListParagraph"/>
        <w:numPr>
          <w:ilvl w:val="1"/>
          <w:numId w:val="10"/>
        </w:numPr>
        <w:rPr>
          <w:lang w:val="fr-CA"/>
        </w:rPr>
      </w:pPr>
      <w:r w:rsidRPr="00CD71E6">
        <w:rPr>
          <w:lang w:val="fr-CA"/>
        </w:rPr>
        <w:t>La stratégie de communication provisoire encouragera aussi les anciens étudiants du Collège à considérer le Collège de l’Arctique du Nunavut comme employeur de choix.</w:t>
      </w:r>
      <w:r w:rsidRPr="00CD71E6">
        <w:rPr>
          <w:lang w:val="fr-CA"/>
        </w:rPr>
        <w:br/>
      </w:r>
    </w:p>
    <w:p w14:paraId="20B6B5B7" w14:textId="77777777" w:rsidR="00902696" w:rsidRPr="00CD71E6" w:rsidRDefault="00902696" w:rsidP="0094062C">
      <w:pPr>
        <w:pStyle w:val="ListParagraph"/>
        <w:keepNext/>
        <w:numPr>
          <w:ilvl w:val="0"/>
          <w:numId w:val="10"/>
        </w:numPr>
        <w:rPr>
          <w:lang w:val="fr-CA"/>
        </w:rPr>
      </w:pPr>
      <w:r w:rsidRPr="00CD71E6">
        <w:rPr>
          <w:lang w:val="fr-CA"/>
        </w:rPr>
        <w:t>Manque de stages dans les programmes coopératifs et d’apprentissage.</w:t>
      </w:r>
    </w:p>
    <w:p w14:paraId="190EB553" w14:textId="77777777" w:rsidR="00BE5568" w:rsidRPr="00CD71E6" w:rsidRDefault="00BE5568" w:rsidP="0094062C">
      <w:pPr>
        <w:pStyle w:val="ListParagraph"/>
        <w:numPr>
          <w:ilvl w:val="1"/>
          <w:numId w:val="10"/>
        </w:numPr>
        <w:rPr>
          <w:lang w:val="fr-CA"/>
        </w:rPr>
      </w:pPr>
      <w:r w:rsidRPr="00CD71E6">
        <w:rPr>
          <w:lang w:val="fr-CA"/>
        </w:rPr>
        <w:t>Le Collège trouvera des options de stages plus souples, et fournira plus de soutien pour les programmes de stages.</w:t>
      </w:r>
    </w:p>
    <w:p w14:paraId="62693859" w14:textId="3B0A4E09" w:rsidR="00902696" w:rsidRPr="00CD71E6" w:rsidRDefault="00BE5568" w:rsidP="0094062C">
      <w:pPr>
        <w:pStyle w:val="ListParagraph"/>
        <w:numPr>
          <w:ilvl w:val="1"/>
          <w:numId w:val="10"/>
        </w:numPr>
        <w:rPr>
          <w:lang w:val="fr-CA"/>
        </w:rPr>
      </w:pPr>
      <w:r w:rsidRPr="00CD71E6">
        <w:rPr>
          <w:lang w:val="fr-CA"/>
        </w:rPr>
        <w:t>Le Collège cernera des possibilités de partenariat avec des ministères du gouvernement du Nunavut pour accroître les occasions de stages dans les programmes coopératifs et d’apprentissage.</w:t>
      </w:r>
      <w:r w:rsidRPr="00CD71E6">
        <w:rPr>
          <w:lang w:val="fr-CA"/>
        </w:rPr>
        <w:br/>
      </w:r>
    </w:p>
    <w:p w14:paraId="184F68D7" w14:textId="77777777" w:rsidR="00BE5568" w:rsidRPr="00CD71E6" w:rsidRDefault="00BE5568" w:rsidP="0094062C">
      <w:pPr>
        <w:pStyle w:val="ListParagraph"/>
        <w:numPr>
          <w:ilvl w:val="0"/>
          <w:numId w:val="10"/>
        </w:numPr>
        <w:rPr>
          <w:lang w:val="fr-CA"/>
        </w:rPr>
      </w:pPr>
      <w:r w:rsidRPr="00CD71E6">
        <w:rPr>
          <w:lang w:val="fr-CA"/>
        </w:rPr>
        <w:t>Les relations de travail efficaces peuvent améliorer la culture de travail du Collège de l’Arctique du Nunavut et réduire le roulement de personnel.</w:t>
      </w:r>
    </w:p>
    <w:p w14:paraId="3975CFE8" w14:textId="737ED762" w:rsidR="00BE5568" w:rsidRPr="00CD71E6" w:rsidRDefault="00BE5568" w:rsidP="0094062C">
      <w:pPr>
        <w:pStyle w:val="ListParagraph"/>
        <w:numPr>
          <w:ilvl w:val="1"/>
          <w:numId w:val="10"/>
        </w:numPr>
        <w:rPr>
          <w:lang w:val="fr-CA"/>
        </w:rPr>
      </w:pPr>
      <w:r w:rsidRPr="00CD71E6">
        <w:rPr>
          <w:lang w:val="fr-CA"/>
        </w:rPr>
        <w:t>Le Collège offrira plus de formation en gestion du rendement aux gestionnaires et aux employés inuits actuels qui souhaitent passer aux catégories de cadres intermédiaires et de cadres supérieurs.</w:t>
      </w:r>
    </w:p>
    <w:p w14:paraId="57C185F6" w14:textId="77777777" w:rsidR="006A0412" w:rsidRPr="00CD71E6" w:rsidRDefault="006A0412" w:rsidP="006A0412">
      <w:pPr>
        <w:pStyle w:val="ListParagraph"/>
        <w:ind w:left="1440"/>
        <w:rPr>
          <w:lang w:val="fr-CA"/>
        </w:rPr>
      </w:pPr>
    </w:p>
    <w:p w14:paraId="363D2282" w14:textId="6143E81B" w:rsidR="00902696" w:rsidRPr="00CD71E6" w:rsidRDefault="00BE5568" w:rsidP="0094062C">
      <w:pPr>
        <w:pStyle w:val="ListParagraph"/>
        <w:numPr>
          <w:ilvl w:val="0"/>
          <w:numId w:val="10"/>
        </w:numPr>
        <w:rPr>
          <w:lang w:val="fr-CA"/>
        </w:rPr>
      </w:pPr>
      <w:r w:rsidRPr="00CD71E6">
        <w:rPr>
          <w:lang w:val="fr-CA"/>
        </w:rPr>
        <w:t>Le Collège est doté de politiques pour le perfectionnement professionnel scolaire, mais ces politiques ne sont pas utilisées pour cibler l’embauchage des Inuits.</w:t>
      </w:r>
    </w:p>
    <w:p w14:paraId="62619D88" w14:textId="59237E21" w:rsidR="006A0412" w:rsidRPr="00CD71E6" w:rsidRDefault="00BE5568" w:rsidP="0094062C">
      <w:pPr>
        <w:pStyle w:val="ListParagraph"/>
        <w:numPr>
          <w:ilvl w:val="1"/>
          <w:numId w:val="10"/>
        </w:numPr>
        <w:rPr>
          <w:lang w:val="fr-CA"/>
        </w:rPr>
      </w:pPr>
      <w:r w:rsidRPr="00CD71E6">
        <w:rPr>
          <w:lang w:val="fr-CA"/>
        </w:rPr>
        <w:t>Le Collège examinera attentivement les politiques de perfectionnement professionnel interne et les mettra à jour au besoin.</w:t>
      </w:r>
    </w:p>
    <w:p w14:paraId="1DF8495F" w14:textId="2ECAF1D0" w:rsidR="00BE5568" w:rsidRPr="00CD71E6" w:rsidRDefault="00BE5568" w:rsidP="0094062C">
      <w:pPr>
        <w:pStyle w:val="ListParagraph"/>
        <w:numPr>
          <w:ilvl w:val="1"/>
          <w:numId w:val="10"/>
        </w:numPr>
        <w:rPr>
          <w:lang w:val="fr-CA"/>
        </w:rPr>
      </w:pPr>
      <w:r w:rsidRPr="00CD71E6">
        <w:rPr>
          <w:lang w:val="fr-CA"/>
        </w:rPr>
        <w:t>Le Collège mettra en œuvre une campagne de sensibilisation à l’intention des employés inuits actuels, les avisant des possibilités de perfectionnement professionnel scolaire.</w:t>
      </w:r>
    </w:p>
    <w:p w14:paraId="55E54F1C" w14:textId="77777777" w:rsidR="006A0412" w:rsidRPr="00CD71E6" w:rsidRDefault="006A0412" w:rsidP="006A0412">
      <w:pPr>
        <w:pStyle w:val="ListParagraph"/>
        <w:ind w:left="1440"/>
        <w:rPr>
          <w:lang w:val="fr-CA"/>
        </w:rPr>
      </w:pPr>
    </w:p>
    <w:p w14:paraId="5918C3CE" w14:textId="59600535" w:rsidR="00902696" w:rsidRPr="00CD71E6" w:rsidRDefault="00BE5568" w:rsidP="0094062C">
      <w:pPr>
        <w:pStyle w:val="ListParagraph"/>
        <w:numPr>
          <w:ilvl w:val="0"/>
          <w:numId w:val="10"/>
        </w:numPr>
        <w:rPr>
          <w:lang w:val="fr-CA"/>
        </w:rPr>
      </w:pPr>
      <w:r w:rsidRPr="00CD71E6">
        <w:rPr>
          <w:lang w:val="fr-CA"/>
        </w:rPr>
        <w:t>Plusieurs postes du Collège nécessitent des experts spécialisés qui ne sont actuellement pas soutenus par le marché du travail.</w:t>
      </w:r>
    </w:p>
    <w:p w14:paraId="261C9F7D" w14:textId="0EE3EF4D" w:rsidR="006A0412" w:rsidRPr="00CD71E6" w:rsidRDefault="00BE5568" w:rsidP="0094062C">
      <w:pPr>
        <w:pStyle w:val="ListParagraph"/>
        <w:numPr>
          <w:ilvl w:val="1"/>
          <w:numId w:val="10"/>
        </w:numPr>
        <w:rPr>
          <w:lang w:val="fr-CA"/>
        </w:rPr>
      </w:pPr>
      <w:r w:rsidRPr="00CD71E6">
        <w:rPr>
          <w:lang w:val="fr-CA"/>
        </w:rPr>
        <w:t>Le Collège lancera une fondation pour la remise de bourses dans des domaines qui ne sont pas actuellement soutenus par le marché du travail.</w:t>
      </w:r>
    </w:p>
    <w:p w14:paraId="337AF3B3" w14:textId="126245EC" w:rsidR="00BE5568" w:rsidRPr="00CD71E6" w:rsidRDefault="00BE5568" w:rsidP="0094062C">
      <w:pPr>
        <w:pStyle w:val="ListParagraph"/>
        <w:numPr>
          <w:ilvl w:val="1"/>
          <w:numId w:val="10"/>
        </w:numPr>
        <w:rPr>
          <w:lang w:val="fr-CA"/>
        </w:rPr>
      </w:pPr>
      <w:r w:rsidRPr="00CD71E6">
        <w:rPr>
          <w:lang w:val="fr-CA"/>
        </w:rPr>
        <w:t>Le Collège déterminera les employés inuits actuels qui pourraient être admissibles aux activités de perfectionnement professionnel qui pourraient mener à un emploi dans un poste spécialisé.</w:t>
      </w:r>
    </w:p>
    <w:p w14:paraId="175CF2CE" w14:textId="77777777" w:rsidR="00542AEA" w:rsidRPr="00CD71E6" w:rsidRDefault="00710193" w:rsidP="0094062C">
      <w:pPr>
        <w:pStyle w:val="ListParagraph"/>
        <w:numPr>
          <w:ilvl w:val="1"/>
          <w:numId w:val="10"/>
        </w:numPr>
        <w:rPr>
          <w:lang w:val="fr-CA"/>
        </w:rPr>
      </w:pPr>
      <w:r w:rsidRPr="00CD71E6">
        <w:rPr>
          <w:lang w:val="fr-CA"/>
        </w:rPr>
        <w:t xml:space="preserve">Le Collège veillera, seulement lorsque cela est nécessaire, à ce que les descriptions de poste exigent un niveau d’études avancé et de l’expérience. </w:t>
      </w:r>
    </w:p>
    <w:p w14:paraId="5F212A87" w14:textId="12C30F10" w:rsidR="006D0F70" w:rsidRPr="00CD71E6" w:rsidRDefault="00153F48" w:rsidP="0094062C">
      <w:pPr>
        <w:pStyle w:val="ListParagraph"/>
        <w:numPr>
          <w:ilvl w:val="1"/>
          <w:numId w:val="10"/>
        </w:numPr>
        <w:rPr>
          <w:lang w:val="fr-CA"/>
        </w:rPr>
      </w:pPr>
      <w:r w:rsidRPr="00CD71E6">
        <w:rPr>
          <w:lang w:val="fr-CA"/>
        </w:rPr>
        <w:t xml:space="preserve">Les qualifications gonflées seront retirées le cas échéant dans les descriptions de poste actuelles. </w:t>
      </w:r>
    </w:p>
    <w:p w14:paraId="53B4B0D9" w14:textId="77777777" w:rsidR="00BE5568" w:rsidRPr="00CD71E6" w:rsidRDefault="00BE5568" w:rsidP="00BE5568">
      <w:pPr>
        <w:pStyle w:val="ListParagraph"/>
        <w:ind w:left="1440"/>
        <w:rPr>
          <w:lang w:val="fr-CA"/>
        </w:rPr>
      </w:pPr>
    </w:p>
    <w:p w14:paraId="331F363C" w14:textId="77777777" w:rsidR="00605602" w:rsidRPr="00CD71E6" w:rsidRDefault="00605602" w:rsidP="00605602">
      <w:pPr>
        <w:pStyle w:val="ListParagraph"/>
        <w:ind w:left="1440"/>
        <w:rPr>
          <w:lang w:val="fr-CA"/>
        </w:rPr>
      </w:pPr>
    </w:p>
    <w:p w14:paraId="63C5CC2A" w14:textId="77777777" w:rsidR="00260E24" w:rsidRPr="00CD71E6" w:rsidRDefault="00260E24">
      <w:pPr>
        <w:spacing w:after="200" w:line="276" w:lineRule="auto"/>
        <w:rPr>
          <w:lang w:val="fr-CA"/>
        </w:rPr>
      </w:pPr>
      <w:r w:rsidRPr="00CD71E6">
        <w:rPr>
          <w:lang w:val="fr-CA"/>
        </w:rPr>
        <w:br w:type="page"/>
      </w:r>
    </w:p>
    <w:p w14:paraId="3636442B" w14:textId="4924E242" w:rsidR="00755060" w:rsidRPr="00CD71E6" w:rsidRDefault="001504F0" w:rsidP="00755060">
      <w:pPr>
        <w:pStyle w:val="Heading1"/>
        <w:rPr>
          <w:lang w:val="fr-CA"/>
        </w:rPr>
      </w:pPr>
      <w:bookmarkStart w:id="90" w:name="_Toc41053735"/>
      <w:r w:rsidRPr="00CD71E6">
        <w:rPr>
          <w:lang w:val="fr-CA"/>
        </w:rPr>
        <w:lastRenderedPageBreak/>
        <w:t>Chapitre 6 : Plan d’action à l’horizon 2023</w:t>
      </w:r>
      <w:bookmarkEnd w:id="90"/>
    </w:p>
    <w:p w14:paraId="5AE20873" w14:textId="77777777" w:rsidR="00755060" w:rsidRPr="00CD71E6" w:rsidRDefault="00232A3A" w:rsidP="00232A3A">
      <w:pPr>
        <w:pStyle w:val="IntenseQuote"/>
        <w:rPr>
          <w:lang w:val="fr-CA"/>
        </w:rPr>
      </w:pPr>
      <w:r w:rsidRPr="00CD71E6">
        <w:rPr>
          <w:bCs/>
          <w:lang w:val="fr-CA"/>
        </w:rPr>
        <w:t>Ce chapitre énonce les mesures particulières que l’organisme prendra pour atteindre ses objectifs à court et à moyen terme. Il fait également état de la marche à suivre pour suivre les progrès et en faire rapport.</w:t>
      </w:r>
    </w:p>
    <w:p w14:paraId="316E6846" w14:textId="77777777" w:rsidR="00E742A6" w:rsidRPr="00CD71E6" w:rsidRDefault="00E742A6" w:rsidP="00E742A6">
      <w:pPr>
        <w:pStyle w:val="Heading2"/>
        <w:rPr>
          <w:lang w:val="fr-CA"/>
        </w:rPr>
      </w:pPr>
      <w:bookmarkStart w:id="91" w:name="_Toc13063980"/>
      <w:bookmarkStart w:id="92" w:name="_Toc41053736"/>
      <w:bookmarkStart w:id="93" w:name="_Toc477329830"/>
      <w:r w:rsidRPr="00CD71E6">
        <w:rPr>
          <w:bCs/>
          <w:lang w:val="fr-CA"/>
        </w:rPr>
        <w:t>Types de mesures</w:t>
      </w:r>
      <w:bookmarkEnd w:id="91"/>
      <w:bookmarkEnd w:id="92"/>
    </w:p>
    <w:p w14:paraId="73A317A0" w14:textId="77777777" w:rsidR="00E742A6" w:rsidRPr="00CD71E6" w:rsidRDefault="00E742A6" w:rsidP="00E742A6">
      <w:pPr>
        <w:rPr>
          <w:lang w:val="fr-CA"/>
        </w:rPr>
      </w:pPr>
      <w:r w:rsidRPr="00CD71E6">
        <w:rPr>
          <w:lang w:val="fr-CA"/>
        </w:rPr>
        <w:t>Pendant l’élaboration de leurs plans d’action pour l’embauchage d’Inuits à l’horizon 2023, les ministères et les sociétés ont cerné six types de mesures qui serviront à accroître et à améliorer l’emploi d’Inuits :</w:t>
      </w:r>
    </w:p>
    <w:p w14:paraId="52CE38EE" w14:textId="77777777" w:rsidR="00E742A6" w:rsidRPr="00CD71E6" w:rsidRDefault="00E742A6" w:rsidP="00E742A6">
      <w:pPr>
        <w:spacing w:after="0"/>
        <w:rPr>
          <w:lang w:val="fr-CA"/>
        </w:rPr>
      </w:pPr>
      <w:r w:rsidRPr="00CD71E6">
        <w:rPr>
          <w:lang w:val="fr-CA"/>
        </w:rPr>
        <w:t xml:space="preserve">Des </w:t>
      </w:r>
      <w:r w:rsidRPr="00B01B52">
        <w:rPr>
          <w:bCs/>
          <w:lang w:val="fr-CA"/>
        </w:rPr>
        <w:t>mesures pour garantir l’</w:t>
      </w:r>
      <w:r w:rsidRPr="00CD71E6">
        <w:rPr>
          <w:b/>
          <w:bCs/>
          <w:lang w:val="fr-CA"/>
        </w:rPr>
        <w:t>efficacité de la fonction publique</w:t>
      </w:r>
      <w:r w:rsidRPr="00CD71E6">
        <w:rPr>
          <w:lang w:val="fr-CA"/>
        </w:rPr>
        <w:t xml:space="preserve"> :</w:t>
      </w:r>
    </w:p>
    <w:p w14:paraId="4C6ADA34" w14:textId="77777777" w:rsidR="00E742A6" w:rsidRPr="00CD71E6" w:rsidRDefault="00E742A6" w:rsidP="0094062C">
      <w:pPr>
        <w:pStyle w:val="ListParagraph"/>
        <w:numPr>
          <w:ilvl w:val="0"/>
          <w:numId w:val="27"/>
        </w:numPr>
        <w:rPr>
          <w:lang w:val="fr-CA"/>
        </w:rPr>
      </w:pPr>
      <w:r w:rsidRPr="00CD71E6">
        <w:rPr>
          <w:lang w:val="fr-CA"/>
        </w:rPr>
        <w:t>Une bonne compréhension des effectifs ministériels;</w:t>
      </w:r>
    </w:p>
    <w:p w14:paraId="3A41CB44" w14:textId="77777777" w:rsidR="00E742A6" w:rsidRPr="00CD71E6" w:rsidRDefault="00E742A6" w:rsidP="0094062C">
      <w:pPr>
        <w:pStyle w:val="ListParagraph"/>
        <w:numPr>
          <w:ilvl w:val="0"/>
          <w:numId w:val="27"/>
        </w:numPr>
        <w:rPr>
          <w:lang w:val="fr-CA"/>
        </w:rPr>
      </w:pPr>
      <w:r w:rsidRPr="00CD71E6">
        <w:rPr>
          <w:lang w:val="fr-CA"/>
        </w:rPr>
        <w:t>La création d’organisations et d’emplois qui favorisent l’embauchage des Inuits;</w:t>
      </w:r>
    </w:p>
    <w:p w14:paraId="091FC965" w14:textId="77777777" w:rsidR="00E742A6" w:rsidRPr="00CD71E6" w:rsidRDefault="00E742A6" w:rsidP="0094062C">
      <w:pPr>
        <w:pStyle w:val="ListParagraph"/>
        <w:numPr>
          <w:ilvl w:val="0"/>
          <w:numId w:val="27"/>
        </w:numPr>
        <w:rPr>
          <w:lang w:val="fr-CA"/>
        </w:rPr>
      </w:pPr>
      <w:r w:rsidRPr="00CD71E6">
        <w:rPr>
          <w:lang w:val="fr-CA"/>
        </w:rPr>
        <w:t>La détermination des échelons et des cheminements de carrière;</w:t>
      </w:r>
    </w:p>
    <w:p w14:paraId="237DEB6E" w14:textId="77777777" w:rsidR="00E742A6" w:rsidRPr="00CD71E6" w:rsidRDefault="00E742A6" w:rsidP="0094062C">
      <w:pPr>
        <w:pStyle w:val="ListParagraph"/>
        <w:numPr>
          <w:ilvl w:val="0"/>
          <w:numId w:val="27"/>
        </w:numPr>
        <w:rPr>
          <w:lang w:val="fr-CA"/>
        </w:rPr>
      </w:pPr>
      <w:r w:rsidRPr="00CD71E6">
        <w:rPr>
          <w:lang w:val="fr-CA"/>
        </w:rPr>
        <w:t>L’amélioration du milieu de travail.</w:t>
      </w:r>
    </w:p>
    <w:p w14:paraId="317BAD30" w14:textId="77777777" w:rsidR="00843BAD" w:rsidRPr="00CD71E6" w:rsidRDefault="00843BAD" w:rsidP="00843BAD">
      <w:pPr>
        <w:spacing w:after="0"/>
        <w:rPr>
          <w:lang w:val="fr-CA"/>
        </w:rPr>
      </w:pPr>
      <w:r w:rsidRPr="00CD71E6">
        <w:rPr>
          <w:lang w:val="fr-CA"/>
        </w:rPr>
        <w:t xml:space="preserve">Des </w:t>
      </w:r>
      <w:r w:rsidRPr="00B01B52">
        <w:rPr>
          <w:bCs/>
          <w:lang w:val="fr-CA"/>
        </w:rPr>
        <w:t>mesures de</w:t>
      </w:r>
      <w:r w:rsidRPr="00CD71E6">
        <w:rPr>
          <w:b/>
          <w:bCs/>
          <w:lang w:val="fr-CA"/>
        </w:rPr>
        <w:t xml:space="preserve"> recrutement et de dotation en personnel </w:t>
      </w:r>
      <w:r w:rsidRPr="00CD71E6">
        <w:rPr>
          <w:lang w:val="fr-CA"/>
        </w:rPr>
        <w:t>:</w:t>
      </w:r>
    </w:p>
    <w:p w14:paraId="70AFE7CC" w14:textId="77777777" w:rsidR="00843BAD" w:rsidRPr="00CD71E6" w:rsidRDefault="00843BAD" w:rsidP="00843BAD">
      <w:pPr>
        <w:pStyle w:val="ListParagraph"/>
        <w:numPr>
          <w:ilvl w:val="0"/>
          <w:numId w:val="32"/>
        </w:numPr>
        <w:rPr>
          <w:lang w:val="fr-CA"/>
        </w:rPr>
      </w:pPr>
      <w:r w:rsidRPr="00CD71E6">
        <w:rPr>
          <w:lang w:val="fr-CA"/>
        </w:rPr>
        <w:t>L’amélioration du processus et des pratiques en matière de dotation en personnel;</w:t>
      </w:r>
    </w:p>
    <w:p w14:paraId="275C6363" w14:textId="77777777" w:rsidR="00843BAD" w:rsidRPr="00CD71E6" w:rsidRDefault="00843BAD" w:rsidP="00843BAD">
      <w:pPr>
        <w:pStyle w:val="ListParagraph"/>
        <w:numPr>
          <w:ilvl w:val="0"/>
          <w:numId w:val="32"/>
        </w:numPr>
        <w:rPr>
          <w:lang w:val="fr-CA"/>
        </w:rPr>
      </w:pPr>
      <w:r w:rsidRPr="00CD71E6">
        <w:rPr>
          <w:lang w:val="fr-CA"/>
        </w:rPr>
        <w:t>L’utilisation d’outils existants;</w:t>
      </w:r>
    </w:p>
    <w:p w14:paraId="1E5DA48F" w14:textId="77777777" w:rsidR="00843BAD" w:rsidRPr="00CD71E6" w:rsidRDefault="00843BAD" w:rsidP="00843BAD">
      <w:pPr>
        <w:pStyle w:val="ListParagraph"/>
        <w:numPr>
          <w:ilvl w:val="0"/>
          <w:numId w:val="32"/>
        </w:numPr>
        <w:rPr>
          <w:lang w:val="fr-CA"/>
        </w:rPr>
      </w:pPr>
      <w:r w:rsidRPr="00CD71E6">
        <w:rPr>
          <w:lang w:val="fr-CA"/>
        </w:rPr>
        <w:t>L’attrait et la rétention de main-d’œuvre inuite qualifiée;</w:t>
      </w:r>
    </w:p>
    <w:p w14:paraId="097EC264" w14:textId="77777777" w:rsidR="00843BAD" w:rsidRPr="00CD71E6" w:rsidRDefault="00843BAD" w:rsidP="00843BAD">
      <w:pPr>
        <w:pStyle w:val="ListParagraph"/>
        <w:numPr>
          <w:ilvl w:val="0"/>
          <w:numId w:val="32"/>
        </w:numPr>
        <w:rPr>
          <w:lang w:val="fr-CA"/>
        </w:rPr>
      </w:pPr>
      <w:r w:rsidRPr="00CD71E6">
        <w:rPr>
          <w:lang w:val="fr-CA"/>
        </w:rPr>
        <w:t>Le perfectionnement des compétences en matière de compétitivité de la main-d’œuvre inuite potentielle.</w:t>
      </w:r>
    </w:p>
    <w:p w14:paraId="30BD963B" w14:textId="77777777" w:rsidR="00E742A6" w:rsidRPr="00CD71E6" w:rsidRDefault="00E742A6" w:rsidP="00E742A6">
      <w:pPr>
        <w:spacing w:after="0"/>
        <w:rPr>
          <w:lang w:val="fr-CA"/>
        </w:rPr>
      </w:pPr>
      <w:r w:rsidRPr="00CD71E6">
        <w:rPr>
          <w:lang w:val="fr-CA"/>
        </w:rPr>
        <w:t xml:space="preserve">Des </w:t>
      </w:r>
      <w:r w:rsidRPr="00B01B52">
        <w:rPr>
          <w:bCs/>
          <w:lang w:val="fr-CA"/>
        </w:rPr>
        <w:t>mesures de</w:t>
      </w:r>
      <w:r w:rsidRPr="00CD71E6">
        <w:rPr>
          <w:b/>
          <w:bCs/>
          <w:lang w:val="fr-CA"/>
        </w:rPr>
        <w:t xml:space="preserve"> planification et de supervision en matière de formation et de perfectionnement </w:t>
      </w:r>
      <w:r w:rsidRPr="00CD71E6">
        <w:rPr>
          <w:lang w:val="fr-CA"/>
        </w:rPr>
        <w:t xml:space="preserve">: </w:t>
      </w:r>
    </w:p>
    <w:p w14:paraId="743922E8" w14:textId="77777777" w:rsidR="00E742A6" w:rsidRPr="00CD71E6" w:rsidRDefault="00E742A6" w:rsidP="0094062C">
      <w:pPr>
        <w:pStyle w:val="ListParagraph"/>
        <w:numPr>
          <w:ilvl w:val="0"/>
          <w:numId w:val="28"/>
        </w:numPr>
        <w:rPr>
          <w:lang w:val="fr-CA"/>
        </w:rPr>
      </w:pPr>
      <w:r w:rsidRPr="00CD71E6">
        <w:rPr>
          <w:lang w:val="fr-CA"/>
        </w:rPr>
        <w:t>La communication de possibilités d’études, de formation et de perfectionnement au personnel;</w:t>
      </w:r>
    </w:p>
    <w:p w14:paraId="4EFD1771" w14:textId="77777777" w:rsidR="00E742A6" w:rsidRPr="00CD71E6" w:rsidRDefault="00E742A6" w:rsidP="0094062C">
      <w:pPr>
        <w:pStyle w:val="ListParagraph"/>
        <w:numPr>
          <w:ilvl w:val="0"/>
          <w:numId w:val="28"/>
        </w:numPr>
        <w:rPr>
          <w:lang w:val="fr-CA"/>
        </w:rPr>
      </w:pPr>
      <w:r w:rsidRPr="00CD71E6">
        <w:rPr>
          <w:lang w:val="fr-CA"/>
        </w:rPr>
        <w:t>La planification et la supervision de possibilités d’études, de formation et de perfectionnement professionnel;</w:t>
      </w:r>
    </w:p>
    <w:p w14:paraId="5E7918F3" w14:textId="77777777" w:rsidR="00E742A6" w:rsidRPr="00CD71E6" w:rsidRDefault="00E742A6" w:rsidP="0094062C">
      <w:pPr>
        <w:pStyle w:val="ListParagraph"/>
        <w:numPr>
          <w:ilvl w:val="0"/>
          <w:numId w:val="28"/>
        </w:numPr>
        <w:rPr>
          <w:lang w:val="fr-CA"/>
        </w:rPr>
      </w:pPr>
      <w:r w:rsidRPr="00CD71E6">
        <w:rPr>
          <w:lang w:val="fr-CA"/>
        </w:rPr>
        <w:t>La planification de la relève.</w:t>
      </w:r>
    </w:p>
    <w:p w14:paraId="66BF0661" w14:textId="77777777" w:rsidR="00E742A6" w:rsidRPr="00CD71E6" w:rsidRDefault="00E742A6" w:rsidP="00E742A6">
      <w:pPr>
        <w:spacing w:after="0"/>
        <w:rPr>
          <w:lang w:val="fr-CA"/>
        </w:rPr>
      </w:pPr>
      <w:r w:rsidRPr="00CD71E6">
        <w:rPr>
          <w:lang w:val="fr-CA"/>
        </w:rPr>
        <w:t xml:space="preserve">Des </w:t>
      </w:r>
      <w:r w:rsidRPr="00B01B52">
        <w:rPr>
          <w:bCs/>
          <w:lang w:val="fr-CA"/>
        </w:rPr>
        <w:t>mesures pour la</w:t>
      </w:r>
      <w:r w:rsidRPr="00CD71E6">
        <w:rPr>
          <w:b/>
          <w:bCs/>
          <w:lang w:val="fr-CA"/>
        </w:rPr>
        <w:t xml:space="preserve"> prestation de possibilités d’études, de formation et de perfectionnement </w:t>
      </w:r>
      <w:r w:rsidRPr="00CD71E6">
        <w:rPr>
          <w:lang w:val="fr-CA"/>
        </w:rPr>
        <w:t>:</w:t>
      </w:r>
    </w:p>
    <w:p w14:paraId="4964AADA" w14:textId="77777777" w:rsidR="00E742A6" w:rsidRPr="00CD71E6" w:rsidRDefault="00E742A6" w:rsidP="0094062C">
      <w:pPr>
        <w:pStyle w:val="ListParagraph"/>
        <w:numPr>
          <w:ilvl w:val="0"/>
          <w:numId w:val="29"/>
        </w:numPr>
        <w:rPr>
          <w:lang w:val="fr-CA"/>
        </w:rPr>
      </w:pPr>
      <w:r w:rsidRPr="00CD71E6">
        <w:rPr>
          <w:lang w:val="fr-CA"/>
        </w:rPr>
        <w:t>L’offre de formation sur la gestion du rendement;</w:t>
      </w:r>
    </w:p>
    <w:p w14:paraId="35FB5173" w14:textId="77777777" w:rsidR="00E742A6" w:rsidRPr="00CD71E6" w:rsidRDefault="00E742A6" w:rsidP="0094062C">
      <w:pPr>
        <w:pStyle w:val="ListParagraph"/>
        <w:numPr>
          <w:ilvl w:val="0"/>
          <w:numId w:val="29"/>
        </w:numPr>
        <w:rPr>
          <w:lang w:val="fr-CA"/>
        </w:rPr>
      </w:pPr>
      <w:r w:rsidRPr="00CD71E6">
        <w:rPr>
          <w:lang w:val="fr-CA"/>
        </w:rPr>
        <w:t>L’offre d’un programme d’intégration;</w:t>
      </w:r>
    </w:p>
    <w:p w14:paraId="057083F8" w14:textId="77777777" w:rsidR="00E742A6" w:rsidRPr="00CD71E6" w:rsidRDefault="00E742A6" w:rsidP="0094062C">
      <w:pPr>
        <w:pStyle w:val="ListParagraph"/>
        <w:numPr>
          <w:ilvl w:val="0"/>
          <w:numId w:val="29"/>
        </w:numPr>
        <w:rPr>
          <w:lang w:val="fr-CA"/>
        </w:rPr>
      </w:pPr>
      <w:r w:rsidRPr="00CD71E6">
        <w:rPr>
          <w:lang w:val="fr-CA"/>
        </w:rPr>
        <w:t>Le parrainage de l’éducation postsecondaire;</w:t>
      </w:r>
    </w:p>
    <w:p w14:paraId="488376BE" w14:textId="77777777" w:rsidR="00E742A6" w:rsidRPr="00CD71E6" w:rsidRDefault="00E742A6" w:rsidP="0094062C">
      <w:pPr>
        <w:pStyle w:val="ListParagraph"/>
        <w:numPr>
          <w:ilvl w:val="0"/>
          <w:numId w:val="29"/>
        </w:numPr>
        <w:rPr>
          <w:lang w:val="fr-CA"/>
        </w:rPr>
      </w:pPr>
      <w:r w:rsidRPr="00CD71E6">
        <w:rPr>
          <w:lang w:val="fr-CA"/>
        </w:rPr>
        <w:t>Le parrainage de la formation interne au sein des ministères;</w:t>
      </w:r>
    </w:p>
    <w:p w14:paraId="766F32F5" w14:textId="77777777" w:rsidR="00E742A6" w:rsidRPr="00CD71E6" w:rsidRDefault="00E742A6" w:rsidP="0094062C">
      <w:pPr>
        <w:pStyle w:val="ListParagraph"/>
        <w:numPr>
          <w:ilvl w:val="0"/>
          <w:numId w:val="29"/>
        </w:numPr>
        <w:rPr>
          <w:lang w:val="fr-CA"/>
        </w:rPr>
      </w:pPr>
      <w:r w:rsidRPr="00CD71E6">
        <w:rPr>
          <w:lang w:val="fr-CA"/>
        </w:rPr>
        <w:t>Le recours aux programmes destinés aux employés inuits dans l’ensemble du GN;</w:t>
      </w:r>
    </w:p>
    <w:p w14:paraId="2302DC57" w14:textId="77777777" w:rsidR="00E742A6" w:rsidRPr="00CD71E6" w:rsidRDefault="00E742A6" w:rsidP="0094062C">
      <w:pPr>
        <w:pStyle w:val="ListParagraph"/>
        <w:numPr>
          <w:ilvl w:val="0"/>
          <w:numId w:val="29"/>
        </w:numPr>
        <w:rPr>
          <w:lang w:val="fr-CA"/>
        </w:rPr>
      </w:pPr>
      <w:r w:rsidRPr="00CD71E6">
        <w:rPr>
          <w:lang w:val="fr-CA"/>
        </w:rPr>
        <w:t>La prestation d’autres possibilités de formation de gestionnaires et de cadres.</w:t>
      </w:r>
    </w:p>
    <w:p w14:paraId="3FCBA87B" w14:textId="77777777" w:rsidR="00E742A6" w:rsidRPr="00CD71E6" w:rsidRDefault="00E742A6" w:rsidP="00E742A6">
      <w:pPr>
        <w:spacing w:after="0"/>
        <w:rPr>
          <w:lang w:val="fr-CA"/>
        </w:rPr>
      </w:pPr>
      <w:r w:rsidRPr="00A74686">
        <w:rPr>
          <w:lang w:val="fr-CA"/>
        </w:rPr>
        <w:t xml:space="preserve">Des </w:t>
      </w:r>
      <w:r w:rsidRPr="00B01B52">
        <w:rPr>
          <w:bCs/>
          <w:lang w:val="fr-CA"/>
        </w:rPr>
        <w:t>mesures de</w:t>
      </w:r>
      <w:r w:rsidRPr="00CD71E6">
        <w:rPr>
          <w:b/>
          <w:bCs/>
          <w:lang w:val="fr-CA"/>
        </w:rPr>
        <w:t xml:space="preserve"> soutien à la formation préalable à l’emploi </w:t>
      </w:r>
      <w:r w:rsidRPr="00CD71E6">
        <w:rPr>
          <w:lang w:val="fr-CA"/>
        </w:rPr>
        <w:t>:</w:t>
      </w:r>
    </w:p>
    <w:p w14:paraId="030B5D57" w14:textId="77777777" w:rsidR="00E742A6" w:rsidRPr="00CD71E6" w:rsidRDefault="00E742A6" w:rsidP="0094062C">
      <w:pPr>
        <w:pStyle w:val="ListParagraph"/>
        <w:numPr>
          <w:ilvl w:val="0"/>
          <w:numId w:val="30"/>
        </w:numPr>
        <w:rPr>
          <w:lang w:val="fr-CA"/>
        </w:rPr>
      </w:pPr>
      <w:r w:rsidRPr="00CD71E6">
        <w:rPr>
          <w:lang w:val="fr-CA"/>
        </w:rPr>
        <w:t>La création de nouveaux programmes améliorés pour la formation préalable à l’emploi;</w:t>
      </w:r>
    </w:p>
    <w:p w14:paraId="6608803C" w14:textId="77777777" w:rsidR="00E742A6" w:rsidRPr="00CD71E6" w:rsidRDefault="00E742A6" w:rsidP="0094062C">
      <w:pPr>
        <w:pStyle w:val="ListParagraph"/>
        <w:numPr>
          <w:ilvl w:val="0"/>
          <w:numId w:val="30"/>
        </w:numPr>
        <w:rPr>
          <w:lang w:val="fr-CA"/>
        </w:rPr>
      </w:pPr>
      <w:r w:rsidRPr="00CD71E6">
        <w:rPr>
          <w:lang w:val="fr-CA"/>
        </w:rPr>
        <w:t>L’offre de bourses d’études préembauche.</w:t>
      </w:r>
    </w:p>
    <w:p w14:paraId="6DB04AAD" w14:textId="77777777" w:rsidR="00E742A6" w:rsidRPr="00CD71E6" w:rsidRDefault="00E742A6" w:rsidP="00E742A6">
      <w:pPr>
        <w:spacing w:after="0"/>
        <w:rPr>
          <w:lang w:val="fr-CA"/>
        </w:rPr>
      </w:pPr>
      <w:r w:rsidRPr="00CD71E6">
        <w:rPr>
          <w:lang w:val="fr-CA"/>
        </w:rPr>
        <w:lastRenderedPageBreak/>
        <w:t xml:space="preserve">Des </w:t>
      </w:r>
      <w:r w:rsidRPr="00B01B52">
        <w:rPr>
          <w:bCs/>
          <w:lang w:val="fr-CA"/>
        </w:rPr>
        <w:t>mesures de</w:t>
      </w:r>
      <w:r w:rsidRPr="00CD71E6">
        <w:rPr>
          <w:b/>
          <w:bCs/>
          <w:lang w:val="fr-CA"/>
        </w:rPr>
        <w:t xml:space="preserve"> communications et de rapprochement avec le public </w:t>
      </w:r>
      <w:r w:rsidRPr="00CD71E6">
        <w:rPr>
          <w:lang w:val="fr-CA"/>
        </w:rPr>
        <w:t xml:space="preserve">: </w:t>
      </w:r>
    </w:p>
    <w:p w14:paraId="1F2DB6ED" w14:textId="77777777" w:rsidR="00E742A6" w:rsidRPr="00CD71E6" w:rsidRDefault="00E742A6" w:rsidP="0094062C">
      <w:pPr>
        <w:pStyle w:val="ListParagraph"/>
        <w:numPr>
          <w:ilvl w:val="0"/>
          <w:numId w:val="31"/>
        </w:numPr>
        <w:rPr>
          <w:lang w:val="fr-CA"/>
        </w:rPr>
      </w:pPr>
      <w:r w:rsidRPr="00CD71E6">
        <w:rPr>
          <w:lang w:val="fr-CA"/>
        </w:rPr>
        <w:t>L’établissement de partenariats pour attirer les candidatures d’Inuits;</w:t>
      </w:r>
    </w:p>
    <w:p w14:paraId="37CF611D" w14:textId="77777777" w:rsidR="00E742A6" w:rsidRPr="00CD71E6" w:rsidRDefault="00E742A6" w:rsidP="0094062C">
      <w:pPr>
        <w:pStyle w:val="ListParagraph"/>
        <w:numPr>
          <w:ilvl w:val="0"/>
          <w:numId w:val="31"/>
        </w:numPr>
        <w:rPr>
          <w:lang w:val="fr-CA"/>
        </w:rPr>
      </w:pPr>
      <w:r w:rsidRPr="00CD71E6">
        <w:rPr>
          <w:lang w:val="fr-CA"/>
        </w:rPr>
        <w:t>La représentation le GN ou le ministère comme employeur de choix.</w:t>
      </w:r>
    </w:p>
    <w:p w14:paraId="29CD6629" w14:textId="77777777" w:rsidR="00E742A6" w:rsidRPr="00CD71E6" w:rsidRDefault="00E742A6" w:rsidP="00E742A6">
      <w:pPr>
        <w:pStyle w:val="Heading2"/>
        <w:pageBreakBefore/>
        <w:rPr>
          <w:lang w:val="fr-CA"/>
        </w:rPr>
      </w:pPr>
      <w:bookmarkStart w:id="94" w:name="_Toc13063981"/>
      <w:bookmarkStart w:id="95" w:name="_Toc41053737"/>
      <w:r w:rsidRPr="00CD71E6">
        <w:rPr>
          <w:bCs/>
          <w:lang w:val="fr-CA"/>
        </w:rPr>
        <w:lastRenderedPageBreak/>
        <w:t>Plan d’action pour l’embauchage des Inuits à l’horizon 2023</w:t>
      </w:r>
      <w:bookmarkEnd w:id="93"/>
      <w:bookmarkEnd w:id="94"/>
      <w:bookmarkEnd w:id="95"/>
    </w:p>
    <w:p w14:paraId="73D33B80" w14:textId="77777777" w:rsidR="008D5107" w:rsidRPr="00CD71E6" w:rsidRDefault="008D5107" w:rsidP="008D5107">
      <w:pPr>
        <w:pStyle w:val="Heading3"/>
        <w:rPr>
          <w:rFonts w:cs="Arial"/>
          <w:lang w:val="fr-CA"/>
        </w:rPr>
      </w:pPr>
      <w:bookmarkStart w:id="96" w:name="_Toc41053738"/>
      <w:bookmarkStart w:id="97" w:name="_Toc505763766"/>
      <w:r w:rsidRPr="00CD71E6">
        <w:rPr>
          <w:bCs/>
          <w:lang w:val="fr-CA"/>
        </w:rPr>
        <w:t>Mesures pour garantir l’efficacité de la fonction publique</w:t>
      </w:r>
      <w:bookmarkEnd w:id="96"/>
    </w:p>
    <w:tbl>
      <w:tblPr>
        <w:tblStyle w:val="TableGrid1"/>
        <w:tblW w:w="0" w:type="auto"/>
        <w:tblLook w:val="04A0" w:firstRow="1" w:lastRow="0" w:firstColumn="1" w:lastColumn="0" w:noHBand="0" w:noVBand="1"/>
      </w:tblPr>
      <w:tblGrid>
        <w:gridCol w:w="2092"/>
        <w:gridCol w:w="2063"/>
        <w:gridCol w:w="2070"/>
        <w:gridCol w:w="2085"/>
        <w:gridCol w:w="1266"/>
      </w:tblGrid>
      <w:tr w:rsidR="008D5107" w:rsidRPr="00CD71E6" w14:paraId="5A5E64A5" w14:textId="77777777" w:rsidTr="008D5107">
        <w:trPr>
          <w:trHeight w:val="346"/>
          <w:tblHeader/>
        </w:trPr>
        <w:tc>
          <w:tcPr>
            <w:tcW w:w="2119" w:type="dxa"/>
            <w:shd w:val="clear" w:color="auto" w:fill="000000" w:themeFill="text1"/>
            <w:vAlign w:val="center"/>
          </w:tcPr>
          <w:p w14:paraId="099EA067"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OBJECTIF</w:t>
            </w:r>
          </w:p>
        </w:tc>
        <w:tc>
          <w:tcPr>
            <w:tcW w:w="2120" w:type="dxa"/>
            <w:shd w:val="clear" w:color="auto" w:fill="000000" w:themeFill="text1"/>
            <w:vAlign w:val="center"/>
          </w:tcPr>
          <w:p w14:paraId="257C4F7C"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RÉSULTATS ESCOMPTÉS</w:t>
            </w:r>
          </w:p>
        </w:tc>
        <w:tc>
          <w:tcPr>
            <w:tcW w:w="2119" w:type="dxa"/>
            <w:shd w:val="clear" w:color="auto" w:fill="000000" w:themeFill="text1"/>
            <w:vAlign w:val="center"/>
          </w:tcPr>
          <w:p w14:paraId="2D020723"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ACTIONS</w:t>
            </w:r>
          </w:p>
        </w:tc>
        <w:tc>
          <w:tcPr>
            <w:tcW w:w="2120" w:type="dxa"/>
            <w:shd w:val="clear" w:color="auto" w:fill="000000" w:themeFill="text1"/>
            <w:vAlign w:val="center"/>
          </w:tcPr>
          <w:p w14:paraId="41D8A14E"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RESPONSABILITÉ</w:t>
            </w:r>
          </w:p>
        </w:tc>
        <w:tc>
          <w:tcPr>
            <w:tcW w:w="1098" w:type="dxa"/>
            <w:shd w:val="clear" w:color="auto" w:fill="000000" w:themeFill="text1"/>
            <w:vAlign w:val="center"/>
          </w:tcPr>
          <w:p w14:paraId="2EB11424"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ÉCHÉANCIER</w:t>
            </w:r>
          </w:p>
        </w:tc>
      </w:tr>
      <w:tr w:rsidR="008D5107" w:rsidRPr="00CD71E6" w14:paraId="5810D2FF" w14:textId="77777777" w:rsidTr="008D5107">
        <w:tc>
          <w:tcPr>
            <w:tcW w:w="2119" w:type="dxa"/>
          </w:tcPr>
          <w:p w14:paraId="7247F74A" w14:textId="2512CBAD" w:rsidR="008D5107" w:rsidRPr="00CD71E6" w:rsidRDefault="008D5107" w:rsidP="002A53C8">
            <w:pPr>
              <w:spacing w:after="120" w:line="240" w:lineRule="auto"/>
              <w:rPr>
                <w:rFonts w:eastAsia="Tw Cen MT" w:cs="Times New Roman"/>
                <w:szCs w:val="20"/>
                <w:lang w:val="fr-CA"/>
              </w:rPr>
            </w:pPr>
            <w:r w:rsidRPr="00CD71E6">
              <w:rPr>
                <w:sz w:val="20"/>
                <w:lang w:val="fr-CA"/>
              </w:rPr>
              <w:t>1. Revoir les descriptions de poste et normaliser les postes similaires.</w:t>
            </w:r>
          </w:p>
        </w:tc>
        <w:tc>
          <w:tcPr>
            <w:tcW w:w="2120" w:type="dxa"/>
          </w:tcPr>
          <w:p w14:paraId="4DE6BA8F" w14:textId="5D1C7C78" w:rsidR="008D5107" w:rsidRPr="00CD71E6" w:rsidRDefault="008D5107" w:rsidP="002A53C8">
            <w:pPr>
              <w:spacing w:after="120" w:line="240" w:lineRule="auto"/>
              <w:rPr>
                <w:rFonts w:eastAsia="Tw Cen MT" w:cs="Times New Roman"/>
                <w:szCs w:val="20"/>
                <w:lang w:val="fr-CA"/>
              </w:rPr>
            </w:pPr>
            <w:r w:rsidRPr="00CD71E6">
              <w:rPr>
                <w:sz w:val="20"/>
                <w:lang w:val="fr-CA"/>
              </w:rPr>
              <w:t>Veiller à ce que les obstacles artificiels soient éliminés et normaliser les postes lorsque cela est possible.</w:t>
            </w:r>
          </w:p>
        </w:tc>
        <w:tc>
          <w:tcPr>
            <w:tcW w:w="2119" w:type="dxa"/>
          </w:tcPr>
          <w:p w14:paraId="278FD059" w14:textId="28DFF285" w:rsidR="008D5107" w:rsidRPr="00CD71E6" w:rsidRDefault="008D5107" w:rsidP="002A53C8">
            <w:pPr>
              <w:spacing w:after="120" w:line="240" w:lineRule="auto"/>
              <w:rPr>
                <w:rFonts w:eastAsia="Tw Cen MT" w:cs="Times New Roman"/>
                <w:szCs w:val="20"/>
                <w:lang w:val="fr-CA"/>
              </w:rPr>
            </w:pPr>
            <w:r w:rsidRPr="00CD71E6">
              <w:rPr>
                <w:sz w:val="20"/>
                <w:lang w:val="fr-CA"/>
              </w:rPr>
              <w:t>Revoir et modifier les descriptions de poste au besoin.</w:t>
            </w:r>
          </w:p>
        </w:tc>
        <w:tc>
          <w:tcPr>
            <w:tcW w:w="2120" w:type="dxa"/>
          </w:tcPr>
          <w:p w14:paraId="32679383" w14:textId="77777777" w:rsidR="008D5107" w:rsidRPr="00CD71E6" w:rsidRDefault="008D5107" w:rsidP="002A53C8">
            <w:pPr>
              <w:spacing w:after="120" w:line="240" w:lineRule="auto"/>
              <w:rPr>
                <w:sz w:val="20"/>
                <w:lang w:val="fr-CA"/>
              </w:rPr>
            </w:pPr>
            <w:r w:rsidRPr="00CD71E6">
              <w:rPr>
                <w:sz w:val="20"/>
                <w:lang w:val="fr-CA"/>
              </w:rPr>
              <w:t>Directeur financier</w:t>
            </w:r>
          </w:p>
          <w:p w14:paraId="4A92CF19" w14:textId="77777777" w:rsidR="008D5107" w:rsidRPr="00CD71E6" w:rsidRDefault="008D5107" w:rsidP="002A53C8">
            <w:pPr>
              <w:spacing w:after="120" w:line="240" w:lineRule="auto"/>
              <w:rPr>
                <w:sz w:val="20"/>
                <w:lang w:val="fr-CA"/>
              </w:rPr>
            </w:pPr>
            <w:r w:rsidRPr="00CD71E6">
              <w:rPr>
                <w:sz w:val="20"/>
                <w:lang w:val="fr-CA"/>
              </w:rPr>
              <w:t>Gestionnaire des ressources humaines</w:t>
            </w:r>
          </w:p>
          <w:p w14:paraId="5338BC59" w14:textId="7D1FC8FF" w:rsidR="008D5107" w:rsidRPr="00CD71E6" w:rsidRDefault="008D5107" w:rsidP="002A53C8">
            <w:pPr>
              <w:spacing w:after="120" w:line="240" w:lineRule="auto"/>
              <w:rPr>
                <w:rFonts w:eastAsia="Tw Cen MT" w:cs="Times New Roman"/>
                <w:szCs w:val="20"/>
                <w:lang w:val="fr-CA"/>
              </w:rPr>
            </w:pPr>
            <w:r w:rsidRPr="00CD71E6">
              <w:rPr>
                <w:sz w:val="20"/>
                <w:lang w:val="fr-CA"/>
              </w:rPr>
              <w:t>Gestion</w:t>
            </w:r>
          </w:p>
        </w:tc>
        <w:tc>
          <w:tcPr>
            <w:tcW w:w="1098" w:type="dxa"/>
          </w:tcPr>
          <w:p w14:paraId="429E9041" w14:textId="1E18FE3C" w:rsidR="008D5107" w:rsidRPr="00CD71E6" w:rsidRDefault="008D5107" w:rsidP="002A53C8">
            <w:pPr>
              <w:spacing w:after="120" w:line="240" w:lineRule="auto"/>
              <w:rPr>
                <w:rFonts w:eastAsia="Tw Cen MT" w:cs="Times New Roman"/>
                <w:szCs w:val="20"/>
                <w:lang w:val="fr-CA"/>
              </w:rPr>
            </w:pPr>
            <w:r w:rsidRPr="00CD71E6">
              <w:rPr>
                <w:sz w:val="20"/>
                <w:lang w:val="fr-CA"/>
              </w:rPr>
              <w:t>2018-2019 T3</w:t>
            </w:r>
          </w:p>
        </w:tc>
      </w:tr>
      <w:tr w:rsidR="00EF0877" w:rsidRPr="00CD71E6" w14:paraId="6FB0B825" w14:textId="77777777" w:rsidTr="008D5107">
        <w:tc>
          <w:tcPr>
            <w:tcW w:w="2119" w:type="dxa"/>
          </w:tcPr>
          <w:p w14:paraId="187B621F" w14:textId="0B5FCDD0" w:rsidR="00EF0877" w:rsidRPr="00CD71E6" w:rsidRDefault="00EF0877" w:rsidP="002A53C8">
            <w:pPr>
              <w:spacing w:after="120" w:line="240" w:lineRule="auto"/>
              <w:rPr>
                <w:rFonts w:eastAsia="Tw Cen MT" w:cs="Times New Roman"/>
                <w:szCs w:val="20"/>
                <w:lang w:val="fr-CA"/>
              </w:rPr>
            </w:pPr>
            <w:r w:rsidRPr="00CD71E6">
              <w:rPr>
                <w:sz w:val="20"/>
                <w:lang w:val="fr-CA"/>
              </w:rPr>
              <w:t>2. Promouvoir la formation en orientation culturelle pour les nouveaux employés du GN.</w:t>
            </w:r>
          </w:p>
        </w:tc>
        <w:tc>
          <w:tcPr>
            <w:tcW w:w="2120" w:type="dxa"/>
          </w:tcPr>
          <w:p w14:paraId="506FFECD" w14:textId="572F5D14" w:rsidR="00EF0877" w:rsidRPr="00CD71E6" w:rsidRDefault="00EF0877" w:rsidP="002A53C8">
            <w:pPr>
              <w:spacing w:after="120" w:line="240" w:lineRule="auto"/>
              <w:rPr>
                <w:rFonts w:eastAsia="Tw Cen MT" w:cs="Times New Roman"/>
                <w:szCs w:val="20"/>
                <w:lang w:val="fr-CA"/>
              </w:rPr>
            </w:pPr>
            <w:r w:rsidRPr="00CD71E6">
              <w:rPr>
                <w:sz w:val="20"/>
                <w:lang w:val="fr-CA"/>
              </w:rPr>
              <w:t xml:space="preserve">Les nouveaux employés assisteront aux séances d’orientation culturelle du GN lorsqu’elles sont fournies. </w:t>
            </w:r>
          </w:p>
        </w:tc>
        <w:tc>
          <w:tcPr>
            <w:tcW w:w="2119" w:type="dxa"/>
          </w:tcPr>
          <w:p w14:paraId="738ED982" w14:textId="4283942C" w:rsidR="00EF0877" w:rsidRPr="00CD71E6" w:rsidRDefault="00EF0877" w:rsidP="002A53C8">
            <w:pPr>
              <w:spacing w:after="120" w:line="240" w:lineRule="auto"/>
              <w:rPr>
                <w:rFonts w:eastAsia="Tw Cen MT" w:cs="Times New Roman"/>
                <w:szCs w:val="20"/>
                <w:lang w:val="fr-CA"/>
              </w:rPr>
            </w:pPr>
            <w:r w:rsidRPr="00CD71E6">
              <w:rPr>
                <w:sz w:val="20"/>
                <w:lang w:val="fr-CA"/>
              </w:rPr>
              <w:t xml:space="preserve">Les nouveaux employés seront informés des sessions dans leur trousse d’accueil et par courriel. </w:t>
            </w:r>
          </w:p>
        </w:tc>
        <w:tc>
          <w:tcPr>
            <w:tcW w:w="2120" w:type="dxa"/>
          </w:tcPr>
          <w:p w14:paraId="19299440" w14:textId="77777777" w:rsidR="00EF0877" w:rsidRPr="00CD71E6" w:rsidRDefault="00EF0877" w:rsidP="002A53C8">
            <w:pPr>
              <w:spacing w:after="120" w:line="240" w:lineRule="auto"/>
              <w:rPr>
                <w:sz w:val="20"/>
                <w:lang w:val="fr-CA"/>
              </w:rPr>
            </w:pPr>
            <w:r w:rsidRPr="00CD71E6">
              <w:rPr>
                <w:sz w:val="20"/>
                <w:lang w:val="fr-CA"/>
              </w:rPr>
              <w:t>Directeur financier</w:t>
            </w:r>
          </w:p>
          <w:p w14:paraId="6B291A56" w14:textId="77777777" w:rsidR="00EF0877" w:rsidRPr="00CD71E6" w:rsidRDefault="00EF0877" w:rsidP="002A53C8">
            <w:pPr>
              <w:spacing w:after="120" w:line="240" w:lineRule="auto"/>
              <w:rPr>
                <w:sz w:val="20"/>
                <w:lang w:val="fr-CA"/>
              </w:rPr>
            </w:pPr>
            <w:r w:rsidRPr="00CD71E6">
              <w:rPr>
                <w:sz w:val="20"/>
                <w:lang w:val="fr-CA"/>
              </w:rPr>
              <w:t>Gestionnaire des ressources humaines</w:t>
            </w:r>
          </w:p>
          <w:p w14:paraId="4A3B44AA" w14:textId="77777777" w:rsidR="00EF0877" w:rsidRPr="00CD71E6" w:rsidRDefault="00EF0877" w:rsidP="002A53C8">
            <w:pPr>
              <w:spacing w:after="120" w:line="240" w:lineRule="auto"/>
              <w:rPr>
                <w:rFonts w:eastAsia="Tw Cen MT" w:cs="Times New Roman"/>
                <w:szCs w:val="20"/>
                <w:lang w:val="fr-CA"/>
              </w:rPr>
            </w:pPr>
          </w:p>
        </w:tc>
        <w:tc>
          <w:tcPr>
            <w:tcW w:w="1098" w:type="dxa"/>
          </w:tcPr>
          <w:p w14:paraId="5EC61216" w14:textId="22E45333" w:rsidR="00EF0877" w:rsidRPr="00CD71E6" w:rsidRDefault="00EF0877" w:rsidP="002A53C8">
            <w:pPr>
              <w:spacing w:after="120" w:line="240" w:lineRule="auto"/>
              <w:rPr>
                <w:rFonts w:eastAsia="Tw Cen MT" w:cs="Times New Roman"/>
                <w:szCs w:val="20"/>
                <w:lang w:val="fr-CA"/>
              </w:rPr>
            </w:pPr>
            <w:r w:rsidRPr="00CD71E6">
              <w:rPr>
                <w:sz w:val="20"/>
                <w:lang w:val="fr-CA"/>
              </w:rPr>
              <w:t>2019-2020 T3</w:t>
            </w:r>
          </w:p>
        </w:tc>
      </w:tr>
      <w:tr w:rsidR="00EF0877" w:rsidRPr="00CD71E6" w14:paraId="51FEB42F" w14:textId="77777777" w:rsidTr="008D5107">
        <w:tc>
          <w:tcPr>
            <w:tcW w:w="2119" w:type="dxa"/>
          </w:tcPr>
          <w:p w14:paraId="31BDBEA7" w14:textId="6C959842" w:rsidR="00EF0877" w:rsidRPr="00CD71E6" w:rsidRDefault="0084593E" w:rsidP="002A53C8">
            <w:pPr>
              <w:spacing w:after="120" w:line="240" w:lineRule="auto"/>
              <w:rPr>
                <w:sz w:val="20"/>
                <w:lang w:val="fr-CA"/>
              </w:rPr>
            </w:pPr>
            <w:r w:rsidRPr="00CD71E6">
              <w:rPr>
                <w:sz w:val="20"/>
                <w:lang w:val="fr-CA"/>
              </w:rPr>
              <w:t xml:space="preserve">3. Soutenir les activités relatives à l’Inuit Qaujimajatuqangit et à l’immersion culturelle. </w:t>
            </w:r>
          </w:p>
        </w:tc>
        <w:tc>
          <w:tcPr>
            <w:tcW w:w="2120" w:type="dxa"/>
          </w:tcPr>
          <w:p w14:paraId="5747DA38" w14:textId="185861C1" w:rsidR="00EF0877" w:rsidRPr="00CD71E6" w:rsidRDefault="00EF0877" w:rsidP="002A53C8">
            <w:pPr>
              <w:spacing w:after="120" w:line="240" w:lineRule="auto"/>
              <w:rPr>
                <w:sz w:val="20"/>
                <w:lang w:val="fr-CA"/>
              </w:rPr>
            </w:pPr>
            <w:r w:rsidRPr="00CD71E6">
              <w:rPr>
                <w:sz w:val="20"/>
                <w:lang w:val="fr-CA"/>
              </w:rPr>
              <w:t xml:space="preserve">Le CAN soutiendra et mettra en œuvre les activités relatives à l’IQ et à l’immersion culturelle à l’échelle du Collège. </w:t>
            </w:r>
          </w:p>
        </w:tc>
        <w:tc>
          <w:tcPr>
            <w:tcW w:w="2119" w:type="dxa"/>
          </w:tcPr>
          <w:p w14:paraId="7A8B701B" w14:textId="1DA410AE" w:rsidR="00EF0877" w:rsidRPr="00CD71E6" w:rsidRDefault="00EF0877" w:rsidP="002A53C8">
            <w:pPr>
              <w:spacing w:after="120" w:line="240" w:lineRule="auto"/>
              <w:rPr>
                <w:sz w:val="20"/>
                <w:lang w:val="fr-CA"/>
              </w:rPr>
            </w:pPr>
            <w:r w:rsidRPr="00CD71E6">
              <w:rPr>
                <w:sz w:val="20"/>
                <w:lang w:val="fr-CA"/>
              </w:rPr>
              <w:t xml:space="preserve">Un comité sur l’IQ sera créé et proposera des activités pour renforcer la sensibilisation culturelle et soutenir l’IQ. </w:t>
            </w:r>
          </w:p>
        </w:tc>
        <w:tc>
          <w:tcPr>
            <w:tcW w:w="2120" w:type="dxa"/>
          </w:tcPr>
          <w:p w14:paraId="672D2CDD" w14:textId="77777777" w:rsidR="00EF0877" w:rsidRPr="00CD71E6" w:rsidRDefault="00EF0877" w:rsidP="002A53C8">
            <w:pPr>
              <w:spacing w:after="120" w:line="240" w:lineRule="auto"/>
              <w:rPr>
                <w:sz w:val="20"/>
                <w:lang w:val="fr-CA"/>
              </w:rPr>
            </w:pPr>
            <w:r w:rsidRPr="00CD71E6">
              <w:rPr>
                <w:sz w:val="20"/>
                <w:lang w:val="fr-CA"/>
              </w:rPr>
              <w:t>Président</w:t>
            </w:r>
          </w:p>
          <w:p w14:paraId="4B1F1072" w14:textId="77777777" w:rsidR="00EF0877" w:rsidRPr="00CD71E6" w:rsidRDefault="00EF0877" w:rsidP="002A53C8">
            <w:pPr>
              <w:spacing w:after="120" w:line="240" w:lineRule="auto"/>
              <w:rPr>
                <w:sz w:val="20"/>
                <w:lang w:val="fr-CA"/>
              </w:rPr>
            </w:pPr>
            <w:r w:rsidRPr="00CD71E6">
              <w:rPr>
                <w:sz w:val="20"/>
                <w:lang w:val="fr-CA"/>
              </w:rPr>
              <w:t>Vice-président</w:t>
            </w:r>
          </w:p>
          <w:p w14:paraId="01C6D06A" w14:textId="77777777" w:rsidR="00EF0877" w:rsidRPr="00CD71E6" w:rsidRDefault="00EF0877" w:rsidP="002A53C8">
            <w:pPr>
              <w:spacing w:after="120" w:line="240" w:lineRule="auto"/>
              <w:rPr>
                <w:sz w:val="20"/>
                <w:lang w:val="fr-CA"/>
              </w:rPr>
            </w:pPr>
            <w:r w:rsidRPr="00CD71E6">
              <w:rPr>
                <w:sz w:val="20"/>
                <w:lang w:val="fr-CA"/>
              </w:rPr>
              <w:t xml:space="preserve">Cadre supérieur du CAN </w:t>
            </w:r>
          </w:p>
          <w:p w14:paraId="5258ACE0" w14:textId="433634AB" w:rsidR="00EF0877" w:rsidRPr="00CD71E6" w:rsidRDefault="00EF0877" w:rsidP="002A53C8">
            <w:pPr>
              <w:spacing w:after="120" w:line="240" w:lineRule="auto"/>
              <w:rPr>
                <w:sz w:val="20"/>
                <w:lang w:val="fr-CA"/>
              </w:rPr>
            </w:pPr>
            <w:r w:rsidRPr="00CD71E6">
              <w:rPr>
                <w:sz w:val="20"/>
                <w:lang w:val="fr-CA"/>
              </w:rPr>
              <w:t>Personnel du CAN</w:t>
            </w:r>
          </w:p>
        </w:tc>
        <w:tc>
          <w:tcPr>
            <w:tcW w:w="1098" w:type="dxa"/>
          </w:tcPr>
          <w:p w14:paraId="118F6CE0" w14:textId="77777777" w:rsidR="00EF0877" w:rsidRPr="00CD71E6" w:rsidRDefault="00EF0877" w:rsidP="002A53C8">
            <w:pPr>
              <w:spacing w:after="120" w:line="240" w:lineRule="auto"/>
              <w:rPr>
                <w:sz w:val="20"/>
                <w:lang w:val="fr-CA"/>
              </w:rPr>
            </w:pPr>
            <w:r w:rsidRPr="00CD71E6">
              <w:rPr>
                <w:sz w:val="20"/>
                <w:lang w:val="fr-CA"/>
              </w:rPr>
              <w:t>2019-2020 T3</w:t>
            </w:r>
          </w:p>
          <w:p w14:paraId="2EECEAF6" w14:textId="77777777" w:rsidR="00EF0877" w:rsidRPr="00CD71E6" w:rsidRDefault="00EF0877" w:rsidP="002A53C8">
            <w:pPr>
              <w:spacing w:after="120" w:line="240" w:lineRule="auto"/>
              <w:rPr>
                <w:sz w:val="20"/>
                <w:lang w:val="fr-CA"/>
              </w:rPr>
            </w:pPr>
          </w:p>
        </w:tc>
      </w:tr>
      <w:tr w:rsidR="00EF0877" w:rsidRPr="00CD71E6" w14:paraId="3E229413" w14:textId="77777777" w:rsidTr="008D5107">
        <w:tc>
          <w:tcPr>
            <w:tcW w:w="2119" w:type="dxa"/>
          </w:tcPr>
          <w:p w14:paraId="4D346DA1" w14:textId="620048C1" w:rsidR="00EF0877" w:rsidRPr="00CD71E6" w:rsidRDefault="0084593E" w:rsidP="002A53C8">
            <w:pPr>
              <w:spacing w:after="120" w:line="240" w:lineRule="auto"/>
              <w:rPr>
                <w:sz w:val="20"/>
                <w:lang w:val="fr-CA"/>
              </w:rPr>
            </w:pPr>
            <w:r w:rsidRPr="00CD71E6">
              <w:rPr>
                <w:sz w:val="20"/>
                <w:lang w:val="fr-CA"/>
              </w:rPr>
              <w:t xml:space="preserve">4. Renforcer la culture de travail du Collège de l’Arctique du Nunavut. </w:t>
            </w:r>
          </w:p>
        </w:tc>
        <w:tc>
          <w:tcPr>
            <w:tcW w:w="2120" w:type="dxa"/>
          </w:tcPr>
          <w:p w14:paraId="6F5EA289" w14:textId="043AEE7D" w:rsidR="00EF0877" w:rsidRPr="00CD71E6" w:rsidRDefault="00EF0877" w:rsidP="002A53C8">
            <w:pPr>
              <w:spacing w:after="120" w:line="240" w:lineRule="auto"/>
              <w:rPr>
                <w:sz w:val="20"/>
                <w:lang w:val="fr-CA"/>
              </w:rPr>
            </w:pPr>
            <w:r w:rsidRPr="00CD71E6">
              <w:rPr>
                <w:sz w:val="20"/>
                <w:lang w:val="fr-CA"/>
              </w:rPr>
              <w:t>Les relations de travail efficaces entre les employés favoriseront le maintien des effectifs inuits au Collège et réduiront le roulement de personnel.</w:t>
            </w:r>
          </w:p>
        </w:tc>
        <w:tc>
          <w:tcPr>
            <w:tcW w:w="2119" w:type="dxa"/>
          </w:tcPr>
          <w:p w14:paraId="1C8E54F0" w14:textId="6DE0A10D" w:rsidR="00EF0877" w:rsidRPr="00CD71E6" w:rsidRDefault="00EF0877" w:rsidP="002A53C8">
            <w:pPr>
              <w:spacing w:after="120" w:line="240" w:lineRule="auto"/>
              <w:rPr>
                <w:sz w:val="20"/>
                <w:lang w:val="fr-CA"/>
              </w:rPr>
            </w:pPr>
            <w:r w:rsidRPr="00CD71E6">
              <w:rPr>
                <w:sz w:val="20"/>
                <w:lang w:val="fr-CA"/>
              </w:rPr>
              <w:t>Fournir de la formation en gestion du rendement aux gestionnaires et aux employés inuits actuels qui souhaitent passer aux catégories de cadres intermédiaires et de cadres supérieurs.</w:t>
            </w:r>
          </w:p>
        </w:tc>
        <w:tc>
          <w:tcPr>
            <w:tcW w:w="2120" w:type="dxa"/>
          </w:tcPr>
          <w:p w14:paraId="05812ECC" w14:textId="77777777" w:rsidR="00EF0877" w:rsidRPr="00CD71E6" w:rsidRDefault="00EF0877" w:rsidP="002A53C8">
            <w:pPr>
              <w:spacing w:after="120" w:line="240" w:lineRule="auto"/>
              <w:rPr>
                <w:sz w:val="20"/>
                <w:lang w:val="fr-CA"/>
              </w:rPr>
            </w:pPr>
            <w:r w:rsidRPr="00CD71E6">
              <w:rPr>
                <w:sz w:val="20"/>
                <w:lang w:val="fr-CA"/>
              </w:rPr>
              <w:t>Directeur financier</w:t>
            </w:r>
          </w:p>
          <w:p w14:paraId="1B5D35B6" w14:textId="47ECF60A" w:rsidR="00EF0877" w:rsidRPr="00CD71E6" w:rsidRDefault="00EF0877" w:rsidP="002A53C8">
            <w:pPr>
              <w:spacing w:after="120" w:line="240" w:lineRule="auto"/>
              <w:rPr>
                <w:sz w:val="20"/>
                <w:lang w:val="fr-CA"/>
              </w:rPr>
            </w:pPr>
            <w:r w:rsidRPr="00CD71E6">
              <w:rPr>
                <w:sz w:val="20"/>
                <w:lang w:val="fr-CA"/>
              </w:rPr>
              <w:t>Gestionnaire des ressources humaines</w:t>
            </w:r>
          </w:p>
        </w:tc>
        <w:tc>
          <w:tcPr>
            <w:tcW w:w="1098" w:type="dxa"/>
          </w:tcPr>
          <w:p w14:paraId="61E23545" w14:textId="1D77EE0E" w:rsidR="00EF0877" w:rsidRPr="00CD71E6" w:rsidRDefault="00EF0877" w:rsidP="002A53C8">
            <w:pPr>
              <w:spacing w:after="120" w:line="240" w:lineRule="auto"/>
              <w:rPr>
                <w:sz w:val="20"/>
                <w:lang w:val="fr-CA"/>
              </w:rPr>
            </w:pPr>
            <w:r w:rsidRPr="00CD71E6">
              <w:rPr>
                <w:sz w:val="20"/>
                <w:lang w:val="fr-CA"/>
              </w:rPr>
              <w:t>2019-2020 T4</w:t>
            </w:r>
          </w:p>
        </w:tc>
      </w:tr>
    </w:tbl>
    <w:p w14:paraId="699561B2" w14:textId="6AC15280" w:rsidR="00684D6E" w:rsidRDefault="00684D6E" w:rsidP="008D5107">
      <w:pPr>
        <w:spacing w:before="60" w:after="60" w:line="240" w:lineRule="auto"/>
        <w:rPr>
          <w:rFonts w:cs="Arial"/>
          <w:lang w:val="fr-CA"/>
        </w:rPr>
      </w:pPr>
    </w:p>
    <w:p w14:paraId="1586F303" w14:textId="77777777" w:rsidR="00684D6E" w:rsidRDefault="00684D6E">
      <w:pPr>
        <w:spacing w:after="200" w:line="276" w:lineRule="auto"/>
        <w:rPr>
          <w:rFonts w:cs="Arial"/>
          <w:lang w:val="fr-CA"/>
        </w:rPr>
      </w:pPr>
      <w:r>
        <w:rPr>
          <w:rFonts w:cs="Arial"/>
          <w:lang w:val="fr-CA"/>
        </w:rPr>
        <w:br w:type="page"/>
      </w:r>
    </w:p>
    <w:p w14:paraId="0A1B18FC" w14:textId="77777777" w:rsidR="00843BAD" w:rsidRPr="00CD71E6" w:rsidRDefault="00843BAD" w:rsidP="00843BAD">
      <w:pPr>
        <w:pStyle w:val="Heading3"/>
        <w:rPr>
          <w:lang w:val="fr-CA"/>
        </w:rPr>
      </w:pPr>
      <w:bookmarkStart w:id="98" w:name="_Toc41053739"/>
      <w:r w:rsidRPr="00CD71E6">
        <w:rPr>
          <w:bCs/>
          <w:lang w:val="fr-CA"/>
        </w:rPr>
        <w:lastRenderedPageBreak/>
        <w:t>Mesures de recrutement et de dotation en personnel</w:t>
      </w:r>
      <w:bookmarkEnd w:id="98"/>
    </w:p>
    <w:tbl>
      <w:tblPr>
        <w:tblStyle w:val="TableGrid1"/>
        <w:tblW w:w="0" w:type="auto"/>
        <w:tblLook w:val="04A0" w:firstRow="1" w:lastRow="0" w:firstColumn="1" w:lastColumn="0" w:noHBand="0" w:noVBand="1"/>
      </w:tblPr>
      <w:tblGrid>
        <w:gridCol w:w="2085"/>
        <w:gridCol w:w="2074"/>
        <w:gridCol w:w="2071"/>
        <w:gridCol w:w="2080"/>
        <w:gridCol w:w="1266"/>
      </w:tblGrid>
      <w:tr w:rsidR="00843BAD" w:rsidRPr="00CD71E6" w14:paraId="10B26E39" w14:textId="77777777" w:rsidTr="00CD71E6">
        <w:trPr>
          <w:trHeight w:val="346"/>
          <w:tblHeader/>
        </w:trPr>
        <w:tc>
          <w:tcPr>
            <w:tcW w:w="2119" w:type="dxa"/>
            <w:shd w:val="clear" w:color="auto" w:fill="000000" w:themeFill="text1"/>
            <w:vAlign w:val="center"/>
          </w:tcPr>
          <w:p w14:paraId="4C9A30E5" w14:textId="77777777" w:rsidR="00843BAD" w:rsidRPr="00CD71E6" w:rsidRDefault="00843BAD" w:rsidP="00CD71E6">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OBJECTIF</w:t>
            </w:r>
          </w:p>
        </w:tc>
        <w:tc>
          <w:tcPr>
            <w:tcW w:w="2120" w:type="dxa"/>
            <w:shd w:val="clear" w:color="auto" w:fill="000000" w:themeFill="text1"/>
            <w:vAlign w:val="center"/>
          </w:tcPr>
          <w:p w14:paraId="5252A79E" w14:textId="77777777" w:rsidR="00843BAD" w:rsidRPr="00CD71E6" w:rsidRDefault="00843BAD" w:rsidP="00CD71E6">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RÉSULTATS ESCOMPTÉS</w:t>
            </w:r>
          </w:p>
        </w:tc>
        <w:tc>
          <w:tcPr>
            <w:tcW w:w="2119" w:type="dxa"/>
            <w:shd w:val="clear" w:color="auto" w:fill="000000" w:themeFill="text1"/>
            <w:vAlign w:val="center"/>
          </w:tcPr>
          <w:p w14:paraId="47F53DDA" w14:textId="77777777" w:rsidR="00843BAD" w:rsidRPr="00CD71E6" w:rsidRDefault="00843BAD" w:rsidP="00CD71E6">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ACTIONS</w:t>
            </w:r>
          </w:p>
        </w:tc>
        <w:tc>
          <w:tcPr>
            <w:tcW w:w="2120" w:type="dxa"/>
            <w:shd w:val="clear" w:color="auto" w:fill="000000" w:themeFill="text1"/>
            <w:vAlign w:val="center"/>
          </w:tcPr>
          <w:p w14:paraId="2652ABCA" w14:textId="77777777" w:rsidR="00843BAD" w:rsidRPr="00CD71E6" w:rsidRDefault="00843BAD" w:rsidP="00CD71E6">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RESPONSABILITÉ</w:t>
            </w:r>
          </w:p>
        </w:tc>
        <w:tc>
          <w:tcPr>
            <w:tcW w:w="1098" w:type="dxa"/>
            <w:shd w:val="clear" w:color="auto" w:fill="000000" w:themeFill="text1"/>
            <w:vAlign w:val="center"/>
          </w:tcPr>
          <w:p w14:paraId="4C9524D2" w14:textId="77777777" w:rsidR="00843BAD" w:rsidRPr="00CD71E6" w:rsidRDefault="00843BAD" w:rsidP="00CD71E6">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ÉCHÉANCIER</w:t>
            </w:r>
          </w:p>
        </w:tc>
      </w:tr>
      <w:tr w:rsidR="00843BAD" w:rsidRPr="00CD71E6" w14:paraId="51020E09" w14:textId="77777777" w:rsidTr="00CD71E6">
        <w:tc>
          <w:tcPr>
            <w:tcW w:w="2119" w:type="dxa"/>
          </w:tcPr>
          <w:p w14:paraId="283B43B2" w14:textId="488FD1FA" w:rsidR="00843BAD" w:rsidRPr="00CD71E6" w:rsidRDefault="00843BAD" w:rsidP="00CD71E6">
            <w:pPr>
              <w:spacing w:after="120" w:line="240" w:lineRule="auto"/>
              <w:rPr>
                <w:rFonts w:eastAsia="Tw Cen MT" w:cs="Times New Roman"/>
                <w:szCs w:val="20"/>
                <w:lang w:val="fr-CA"/>
              </w:rPr>
            </w:pPr>
            <w:r w:rsidRPr="00CD71E6">
              <w:rPr>
                <w:sz w:val="20"/>
                <w:lang w:val="fr-CA"/>
              </w:rPr>
              <w:t xml:space="preserve">5. Adhérer aux politiques de priorité d’embauche du gouvernement du Nunavut. </w:t>
            </w:r>
          </w:p>
        </w:tc>
        <w:tc>
          <w:tcPr>
            <w:tcW w:w="2120" w:type="dxa"/>
          </w:tcPr>
          <w:p w14:paraId="04A0C5FB" w14:textId="77777777" w:rsidR="00843BAD" w:rsidRPr="00CD71E6" w:rsidRDefault="00843BAD" w:rsidP="00CD71E6">
            <w:pPr>
              <w:spacing w:after="120" w:line="240" w:lineRule="auto"/>
              <w:rPr>
                <w:rFonts w:eastAsia="Tw Cen MT" w:cs="Times New Roman"/>
                <w:szCs w:val="20"/>
                <w:lang w:val="fr-CA"/>
              </w:rPr>
            </w:pPr>
            <w:r w:rsidRPr="00CD71E6">
              <w:rPr>
                <w:sz w:val="20"/>
                <w:lang w:val="fr-CA"/>
              </w:rPr>
              <w:t>Accroître le nombre de postes pourvus par des Inuits qualifiés.</w:t>
            </w:r>
          </w:p>
        </w:tc>
        <w:tc>
          <w:tcPr>
            <w:tcW w:w="2119" w:type="dxa"/>
          </w:tcPr>
          <w:p w14:paraId="26D7D825" w14:textId="77777777" w:rsidR="00843BAD" w:rsidRPr="00CD71E6" w:rsidRDefault="00843BAD" w:rsidP="00CD71E6">
            <w:pPr>
              <w:spacing w:after="120" w:line="240" w:lineRule="auto"/>
              <w:rPr>
                <w:sz w:val="20"/>
                <w:lang w:val="fr-CA"/>
              </w:rPr>
            </w:pPr>
            <w:r w:rsidRPr="00CD71E6">
              <w:rPr>
                <w:sz w:val="20"/>
                <w:lang w:val="fr-CA"/>
              </w:rPr>
              <w:t xml:space="preserve">Adhérer aux politiques de priorité d’embauche du gouvernement du Nunavut. </w:t>
            </w:r>
          </w:p>
          <w:p w14:paraId="418BD27E" w14:textId="77777777" w:rsidR="00843BAD" w:rsidRPr="00CD71E6" w:rsidRDefault="00843BAD" w:rsidP="00CD71E6">
            <w:pPr>
              <w:spacing w:after="120" w:line="240" w:lineRule="auto"/>
              <w:rPr>
                <w:rFonts w:eastAsia="Tw Cen MT" w:cs="Times New Roman"/>
                <w:szCs w:val="20"/>
                <w:lang w:val="fr-CA"/>
              </w:rPr>
            </w:pPr>
            <w:r w:rsidRPr="00CD71E6">
              <w:rPr>
                <w:sz w:val="20"/>
                <w:lang w:val="fr-CA"/>
              </w:rPr>
              <w:t xml:space="preserve">Utiliser des concours restreints, le cas échéant. </w:t>
            </w:r>
          </w:p>
        </w:tc>
        <w:tc>
          <w:tcPr>
            <w:tcW w:w="2120" w:type="dxa"/>
          </w:tcPr>
          <w:p w14:paraId="2C16F774" w14:textId="77777777" w:rsidR="00843BAD" w:rsidRPr="00CD71E6" w:rsidRDefault="00843BAD" w:rsidP="00CD71E6">
            <w:pPr>
              <w:spacing w:after="120" w:line="240" w:lineRule="auto"/>
              <w:rPr>
                <w:sz w:val="20"/>
                <w:lang w:val="fr-CA"/>
              </w:rPr>
            </w:pPr>
            <w:r w:rsidRPr="00CD71E6">
              <w:rPr>
                <w:sz w:val="20"/>
                <w:lang w:val="fr-CA"/>
              </w:rPr>
              <w:t>Gestionnaire des ressources humaines</w:t>
            </w:r>
          </w:p>
          <w:p w14:paraId="081FE227" w14:textId="77777777" w:rsidR="00843BAD" w:rsidRPr="00CD71E6" w:rsidRDefault="00843BAD" w:rsidP="00CD71E6">
            <w:pPr>
              <w:spacing w:after="120" w:line="240" w:lineRule="auto"/>
              <w:rPr>
                <w:sz w:val="20"/>
                <w:lang w:val="fr-CA"/>
              </w:rPr>
            </w:pPr>
            <w:r w:rsidRPr="00CD71E6">
              <w:rPr>
                <w:sz w:val="20"/>
                <w:lang w:val="fr-CA"/>
              </w:rPr>
              <w:t xml:space="preserve">Conseillers en dotation </w:t>
            </w:r>
          </w:p>
          <w:p w14:paraId="4A33B0CF" w14:textId="77777777" w:rsidR="00843BAD" w:rsidRPr="00CD71E6" w:rsidRDefault="00843BAD" w:rsidP="00CD71E6">
            <w:pPr>
              <w:spacing w:after="120" w:line="240" w:lineRule="auto"/>
              <w:rPr>
                <w:rFonts w:eastAsia="Tw Cen MT" w:cs="Times New Roman"/>
                <w:szCs w:val="20"/>
                <w:lang w:val="fr-CA"/>
              </w:rPr>
            </w:pPr>
            <w:r w:rsidRPr="00CD71E6">
              <w:rPr>
                <w:sz w:val="20"/>
                <w:lang w:val="fr-CA"/>
              </w:rPr>
              <w:t>Gestionnaires et superviseurs</w:t>
            </w:r>
          </w:p>
        </w:tc>
        <w:tc>
          <w:tcPr>
            <w:tcW w:w="1098" w:type="dxa"/>
          </w:tcPr>
          <w:p w14:paraId="3C12C958" w14:textId="5B760BE0" w:rsidR="00843BAD" w:rsidRPr="00CD71E6" w:rsidRDefault="00843BAD" w:rsidP="00CD71E6">
            <w:pPr>
              <w:rPr>
                <w:sz w:val="20"/>
                <w:lang w:val="fr-CA"/>
              </w:rPr>
            </w:pPr>
            <w:r w:rsidRPr="00CD71E6">
              <w:rPr>
                <w:sz w:val="20"/>
                <w:lang w:val="fr-CA"/>
              </w:rPr>
              <w:t xml:space="preserve">2018-2019 T1 </w:t>
            </w:r>
          </w:p>
          <w:p w14:paraId="37C30E22" w14:textId="77777777" w:rsidR="00843BAD" w:rsidRPr="00CD71E6" w:rsidRDefault="00843BAD" w:rsidP="00CD71E6">
            <w:pPr>
              <w:rPr>
                <w:rFonts w:eastAsia="Tw Cen MT" w:cs="Times New Roman"/>
                <w:szCs w:val="20"/>
                <w:lang w:val="fr-CA"/>
              </w:rPr>
            </w:pPr>
            <w:r w:rsidRPr="00CD71E6">
              <w:rPr>
                <w:sz w:val="20"/>
                <w:lang w:val="fr-CA"/>
              </w:rPr>
              <w:t>Continu</w:t>
            </w:r>
          </w:p>
        </w:tc>
      </w:tr>
      <w:tr w:rsidR="00843BAD" w:rsidRPr="00CD71E6" w14:paraId="4B952757" w14:textId="77777777" w:rsidTr="00CD71E6">
        <w:tc>
          <w:tcPr>
            <w:tcW w:w="2119" w:type="dxa"/>
          </w:tcPr>
          <w:p w14:paraId="56E14762" w14:textId="0C171555" w:rsidR="00843BAD" w:rsidRPr="00CD71E6" w:rsidRDefault="00843BAD" w:rsidP="00CD71E6">
            <w:pPr>
              <w:spacing w:after="120" w:line="240" w:lineRule="auto"/>
              <w:rPr>
                <w:rFonts w:eastAsia="Tw Cen MT"/>
                <w:lang w:val="fr-CA"/>
              </w:rPr>
            </w:pPr>
            <w:r w:rsidRPr="00CD71E6">
              <w:rPr>
                <w:sz w:val="20"/>
                <w:lang w:val="fr-CA"/>
              </w:rPr>
              <w:t>6. Accroître la capacité au sein de la Division des ressources humaines du Collège de l’Arctique du Nunavut pour pouvoir mettre l’accent sur le recrutement et le perfectionnement des employés inuits.</w:t>
            </w:r>
          </w:p>
        </w:tc>
        <w:tc>
          <w:tcPr>
            <w:tcW w:w="2120" w:type="dxa"/>
          </w:tcPr>
          <w:p w14:paraId="1B7C6BD2" w14:textId="77777777" w:rsidR="00843BAD" w:rsidRPr="00CD71E6" w:rsidRDefault="00843BAD" w:rsidP="00CD71E6">
            <w:pPr>
              <w:spacing w:after="120" w:line="240" w:lineRule="auto"/>
              <w:rPr>
                <w:rFonts w:eastAsia="Tw Cen MT"/>
                <w:lang w:val="fr-CA"/>
              </w:rPr>
            </w:pPr>
            <w:r w:rsidRPr="00CD71E6">
              <w:rPr>
                <w:sz w:val="20"/>
                <w:lang w:val="fr-CA"/>
              </w:rPr>
              <w:t>Accroître le recrutement et le maintien des effectifs inuits au sein du Collège.</w:t>
            </w:r>
          </w:p>
        </w:tc>
        <w:tc>
          <w:tcPr>
            <w:tcW w:w="2119" w:type="dxa"/>
          </w:tcPr>
          <w:p w14:paraId="0F411C60" w14:textId="77777777" w:rsidR="00843BAD" w:rsidRPr="00CD71E6" w:rsidRDefault="00843BAD" w:rsidP="00CD71E6">
            <w:pPr>
              <w:spacing w:after="120" w:line="240" w:lineRule="auto"/>
              <w:rPr>
                <w:rFonts w:eastAsia="Tw Cen MT"/>
                <w:lang w:val="fr-CA"/>
              </w:rPr>
            </w:pPr>
            <w:r w:rsidRPr="00CD71E6">
              <w:rPr>
                <w:sz w:val="20"/>
                <w:lang w:val="fr-CA"/>
              </w:rPr>
              <w:t>Accroître la capacité de la division des ressources humaines du Collège de l’Arctique du Nunavut; doter les postes vacants.</w:t>
            </w:r>
          </w:p>
        </w:tc>
        <w:tc>
          <w:tcPr>
            <w:tcW w:w="2120" w:type="dxa"/>
          </w:tcPr>
          <w:p w14:paraId="4FEA547C" w14:textId="77777777" w:rsidR="00843BAD" w:rsidRPr="00CD71E6" w:rsidRDefault="00843BAD" w:rsidP="00CD71E6">
            <w:pPr>
              <w:spacing w:after="120" w:line="240" w:lineRule="auto"/>
              <w:rPr>
                <w:sz w:val="20"/>
                <w:lang w:val="fr-CA"/>
              </w:rPr>
            </w:pPr>
            <w:r w:rsidRPr="00CD71E6">
              <w:rPr>
                <w:sz w:val="20"/>
                <w:lang w:val="fr-CA"/>
              </w:rPr>
              <w:t>Directeur financier</w:t>
            </w:r>
          </w:p>
          <w:p w14:paraId="6BB7E911" w14:textId="77777777" w:rsidR="00843BAD" w:rsidRPr="00CD71E6" w:rsidRDefault="00843BAD" w:rsidP="00CD71E6">
            <w:pPr>
              <w:spacing w:after="120" w:line="240" w:lineRule="auto"/>
              <w:rPr>
                <w:sz w:val="20"/>
                <w:lang w:val="fr-CA"/>
              </w:rPr>
            </w:pPr>
            <w:r w:rsidRPr="00CD71E6">
              <w:rPr>
                <w:sz w:val="20"/>
                <w:lang w:val="fr-CA"/>
              </w:rPr>
              <w:t>Gestionnaire des ressources humaines</w:t>
            </w:r>
          </w:p>
          <w:p w14:paraId="09753115" w14:textId="77777777" w:rsidR="00843BAD" w:rsidRPr="00CD71E6" w:rsidRDefault="00843BAD" w:rsidP="00CD71E6">
            <w:pPr>
              <w:spacing w:after="120" w:line="240" w:lineRule="auto"/>
              <w:rPr>
                <w:rFonts w:eastAsia="Tw Cen MT"/>
                <w:lang w:val="fr-CA"/>
              </w:rPr>
            </w:pPr>
            <w:r w:rsidRPr="00CD71E6">
              <w:rPr>
                <w:sz w:val="20"/>
                <w:lang w:val="fr-CA"/>
              </w:rPr>
              <w:t>Conseillers en dotation</w:t>
            </w:r>
          </w:p>
        </w:tc>
        <w:tc>
          <w:tcPr>
            <w:tcW w:w="1098" w:type="dxa"/>
          </w:tcPr>
          <w:p w14:paraId="6FE8A880" w14:textId="77777777" w:rsidR="00843BAD" w:rsidRPr="00CD71E6" w:rsidRDefault="00843BAD" w:rsidP="00CD71E6">
            <w:pPr>
              <w:rPr>
                <w:rFonts w:eastAsia="Tw Cen MT"/>
                <w:lang w:val="fr-CA"/>
              </w:rPr>
            </w:pPr>
            <w:r w:rsidRPr="00CD71E6">
              <w:rPr>
                <w:sz w:val="20"/>
                <w:lang w:val="fr-CA"/>
              </w:rPr>
              <w:t>2019-2020</w:t>
            </w:r>
            <w:r w:rsidRPr="00CD71E6">
              <w:rPr>
                <w:sz w:val="20"/>
                <w:lang w:val="fr-CA"/>
              </w:rPr>
              <w:br/>
              <w:t>T1</w:t>
            </w:r>
          </w:p>
        </w:tc>
      </w:tr>
      <w:tr w:rsidR="00843BAD" w:rsidRPr="00CD71E6" w14:paraId="1CE7F8B5" w14:textId="77777777" w:rsidTr="00CD71E6">
        <w:tc>
          <w:tcPr>
            <w:tcW w:w="2119" w:type="dxa"/>
          </w:tcPr>
          <w:p w14:paraId="341323BA" w14:textId="0BBB9498" w:rsidR="00843BAD" w:rsidRPr="00CD71E6" w:rsidRDefault="00843BAD" w:rsidP="00CD71E6">
            <w:pPr>
              <w:spacing w:after="120" w:line="240" w:lineRule="auto"/>
              <w:rPr>
                <w:sz w:val="20"/>
                <w:lang w:val="fr-CA"/>
              </w:rPr>
            </w:pPr>
            <w:r w:rsidRPr="00CD71E6">
              <w:rPr>
                <w:sz w:val="20"/>
                <w:lang w:val="fr-CA"/>
              </w:rPr>
              <w:t>7. Embaucher des étudiants pour des emplois d’été dans le cadre du Programme d’emplois d’été équitables pour étudiants du GN.</w:t>
            </w:r>
          </w:p>
        </w:tc>
        <w:tc>
          <w:tcPr>
            <w:tcW w:w="2120" w:type="dxa"/>
          </w:tcPr>
          <w:p w14:paraId="5D4E585B" w14:textId="77777777" w:rsidR="00843BAD" w:rsidRPr="00CD71E6" w:rsidRDefault="00843BAD" w:rsidP="00CD71E6">
            <w:pPr>
              <w:spacing w:after="120" w:line="240" w:lineRule="auto"/>
              <w:rPr>
                <w:sz w:val="20"/>
                <w:lang w:val="fr-CA"/>
              </w:rPr>
            </w:pPr>
            <w:r w:rsidRPr="00CD71E6">
              <w:rPr>
                <w:sz w:val="20"/>
                <w:lang w:val="fr-CA"/>
              </w:rPr>
              <w:t xml:space="preserve">Des étudiants inuits sont embauchés et acquièrent une expérience de travail enrichissante au CAN. </w:t>
            </w:r>
          </w:p>
          <w:p w14:paraId="21A08755" w14:textId="77777777" w:rsidR="00843BAD" w:rsidRPr="00CD71E6" w:rsidRDefault="00843BAD" w:rsidP="00CD71E6">
            <w:pPr>
              <w:spacing w:after="120" w:line="240" w:lineRule="auto"/>
              <w:rPr>
                <w:sz w:val="20"/>
                <w:lang w:val="fr-CA"/>
              </w:rPr>
            </w:pPr>
            <w:r w:rsidRPr="00CD71E6">
              <w:rPr>
                <w:sz w:val="20"/>
                <w:lang w:val="fr-CA"/>
              </w:rPr>
              <w:t>Faire connaître les possibilités futures d’enseignement de travail.</w:t>
            </w:r>
          </w:p>
        </w:tc>
        <w:tc>
          <w:tcPr>
            <w:tcW w:w="2119" w:type="dxa"/>
          </w:tcPr>
          <w:p w14:paraId="26748D6A" w14:textId="77777777" w:rsidR="00843BAD" w:rsidRPr="00CD71E6" w:rsidRDefault="00843BAD" w:rsidP="00CD71E6">
            <w:pPr>
              <w:spacing w:after="120" w:line="240" w:lineRule="auto"/>
              <w:rPr>
                <w:sz w:val="20"/>
                <w:lang w:val="fr-CA"/>
              </w:rPr>
            </w:pPr>
            <w:r w:rsidRPr="00CD71E6">
              <w:rPr>
                <w:sz w:val="20"/>
                <w:lang w:val="fr-CA"/>
              </w:rPr>
              <w:t xml:space="preserve">Recruter activement des étudiants pour des emplois d’été au CAN au moyen du programme du GN. </w:t>
            </w:r>
          </w:p>
        </w:tc>
        <w:tc>
          <w:tcPr>
            <w:tcW w:w="2120" w:type="dxa"/>
          </w:tcPr>
          <w:p w14:paraId="6061E490" w14:textId="77777777" w:rsidR="00843BAD" w:rsidRPr="00CD71E6" w:rsidRDefault="00843BAD" w:rsidP="00CD71E6">
            <w:pPr>
              <w:spacing w:after="120" w:line="240" w:lineRule="auto"/>
              <w:rPr>
                <w:sz w:val="20"/>
                <w:lang w:val="fr-CA"/>
              </w:rPr>
            </w:pPr>
            <w:r w:rsidRPr="00CD71E6">
              <w:rPr>
                <w:sz w:val="20"/>
                <w:lang w:val="fr-CA"/>
              </w:rPr>
              <w:t>Directeur financier</w:t>
            </w:r>
          </w:p>
          <w:p w14:paraId="268A45FA" w14:textId="77777777" w:rsidR="00843BAD" w:rsidRPr="00CD71E6" w:rsidRDefault="00843BAD" w:rsidP="00CD71E6">
            <w:pPr>
              <w:spacing w:after="120" w:line="240" w:lineRule="auto"/>
              <w:rPr>
                <w:sz w:val="20"/>
                <w:lang w:val="fr-CA"/>
              </w:rPr>
            </w:pPr>
            <w:r w:rsidRPr="00CD71E6">
              <w:rPr>
                <w:sz w:val="20"/>
                <w:lang w:val="fr-CA"/>
              </w:rPr>
              <w:t>Gestionnaire des ressources humaines</w:t>
            </w:r>
          </w:p>
          <w:p w14:paraId="21AB3D3F" w14:textId="77777777" w:rsidR="00843BAD" w:rsidRPr="00CD71E6" w:rsidRDefault="00843BAD" w:rsidP="00CD71E6">
            <w:pPr>
              <w:spacing w:after="120" w:line="240" w:lineRule="auto"/>
              <w:rPr>
                <w:sz w:val="20"/>
                <w:lang w:val="fr-CA"/>
              </w:rPr>
            </w:pPr>
            <w:r w:rsidRPr="00CD71E6">
              <w:rPr>
                <w:sz w:val="20"/>
                <w:lang w:val="fr-CA"/>
              </w:rPr>
              <w:t xml:space="preserve">Conseillers en dotation </w:t>
            </w:r>
          </w:p>
        </w:tc>
        <w:tc>
          <w:tcPr>
            <w:tcW w:w="1098" w:type="dxa"/>
          </w:tcPr>
          <w:p w14:paraId="415960EB" w14:textId="77777777" w:rsidR="00843BAD" w:rsidRPr="00CD71E6" w:rsidRDefault="00843BAD" w:rsidP="00CD71E6">
            <w:pPr>
              <w:rPr>
                <w:sz w:val="20"/>
                <w:lang w:val="fr-CA"/>
              </w:rPr>
            </w:pPr>
            <w:r w:rsidRPr="00CD71E6">
              <w:rPr>
                <w:sz w:val="20"/>
                <w:lang w:val="fr-CA"/>
              </w:rPr>
              <w:t>2019-2020 T2</w:t>
            </w:r>
          </w:p>
        </w:tc>
      </w:tr>
      <w:tr w:rsidR="00843BAD" w:rsidRPr="00CD71E6" w14:paraId="5F8BECE3" w14:textId="77777777" w:rsidTr="00CD71E6">
        <w:tc>
          <w:tcPr>
            <w:tcW w:w="2119" w:type="dxa"/>
          </w:tcPr>
          <w:p w14:paraId="0A3CE95C" w14:textId="36403807" w:rsidR="00843BAD" w:rsidRPr="00CD71E6" w:rsidRDefault="00843BAD" w:rsidP="00CD71E6">
            <w:pPr>
              <w:spacing w:after="120" w:line="240" w:lineRule="auto"/>
              <w:rPr>
                <w:sz w:val="20"/>
                <w:lang w:val="fr-CA"/>
              </w:rPr>
            </w:pPr>
            <w:r w:rsidRPr="00CD71E6">
              <w:rPr>
                <w:sz w:val="20"/>
                <w:lang w:val="fr-CA"/>
              </w:rPr>
              <w:t>8. Améliorer le processus d’entretien de départ.</w:t>
            </w:r>
          </w:p>
        </w:tc>
        <w:tc>
          <w:tcPr>
            <w:tcW w:w="2120" w:type="dxa"/>
          </w:tcPr>
          <w:p w14:paraId="5DD12B56" w14:textId="77777777" w:rsidR="00843BAD" w:rsidRPr="00CD71E6" w:rsidRDefault="00843BAD" w:rsidP="00CD71E6">
            <w:pPr>
              <w:spacing w:after="120" w:line="240" w:lineRule="auto"/>
              <w:rPr>
                <w:sz w:val="20"/>
                <w:lang w:val="fr-CA"/>
              </w:rPr>
            </w:pPr>
            <w:r w:rsidRPr="00CD71E6">
              <w:rPr>
                <w:sz w:val="20"/>
                <w:lang w:val="fr-CA"/>
              </w:rPr>
              <w:t>Les processus du programme sont améliorés, informant le Collège sur les possibles stratégies de rétention.</w:t>
            </w:r>
          </w:p>
        </w:tc>
        <w:tc>
          <w:tcPr>
            <w:tcW w:w="2119" w:type="dxa"/>
          </w:tcPr>
          <w:p w14:paraId="3C7875EF" w14:textId="77777777" w:rsidR="00843BAD" w:rsidRPr="00CD71E6" w:rsidRDefault="00843BAD" w:rsidP="00CD71E6">
            <w:pPr>
              <w:spacing w:after="120" w:line="240" w:lineRule="auto"/>
              <w:rPr>
                <w:sz w:val="20"/>
                <w:lang w:val="fr-CA"/>
              </w:rPr>
            </w:pPr>
            <w:r w:rsidRPr="00CD71E6">
              <w:rPr>
                <w:sz w:val="20"/>
                <w:lang w:val="fr-CA"/>
              </w:rPr>
              <w:t>Améliorer les processus et l’administration afin de recevoir de la rétroaction utile de la part du personnel.</w:t>
            </w:r>
          </w:p>
        </w:tc>
        <w:tc>
          <w:tcPr>
            <w:tcW w:w="2120" w:type="dxa"/>
          </w:tcPr>
          <w:p w14:paraId="745116AE" w14:textId="77777777" w:rsidR="00843BAD" w:rsidRPr="00CD71E6" w:rsidRDefault="00843BAD" w:rsidP="00CD71E6">
            <w:pPr>
              <w:spacing w:after="120" w:line="240" w:lineRule="auto"/>
              <w:rPr>
                <w:sz w:val="20"/>
                <w:lang w:val="fr-CA"/>
              </w:rPr>
            </w:pPr>
            <w:r w:rsidRPr="00CD71E6">
              <w:rPr>
                <w:sz w:val="20"/>
                <w:lang w:val="fr-CA"/>
              </w:rPr>
              <w:t>Directeur financier</w:t>
            </w:r>
          </w:p>
          <w:p w14:paraId="65E00EA4" w14:textId="77777777" w:rsidR="00843BAD" w:rsidRPr="00CD71E6" w:rsidRDefault="00843BAD" w:rsidP="00CD71E6">
            <w:pPr>
              <w:spacing w:after="120" w:line="240" w:lineRule="auto"/>
              <w:rPr>
                <w:sz w:val="20"/>
                <w:lang w:val="fr-CA"/>
              </w:rPr>
            </w:pPr>
            <w:r w:rsidRPr="00CD71E6">
              <w:rPr>
                <w:sz w:val="20"/>
                <w:lang w:val="fr-CA"/>
              </w:rPr>
              <w:t>Gestionnaire des ressources humaines</w:t>
            </w:r>
          </w:p>
        </w:tc>
        <w:tc>
          <w:tcPr>
            <w:tcW w:w="1098" w:type="dxa"/>
          </w:tcPr>
          <w:p w14:paraId="5F9E861D" w14:textId="7041E314" w:rsidR="00843BAD" w:rsidRPr="00CD71E6" w:rsidRDefault="00843BAD" w:rsidP="00CD71E6">
            <w:pPr>
              <w:rPr>
                <w:sz w:val="20"/>
                <w:lang w:val="fr-CA"/>
              </w:rPr>
            </w:pPr>
            <w:r w:rsidRPr="00CD71E6">
              <w:rPr>
                <w:sz w:val="20"/>
                <w:lang w:val="fr-CA"/>
              </w:rPr>
              <w:t>2019-2020 T3</w:t>
            </w:r>
          </w:p>
        </w:tc>
      </w:tr>
      <w:tr w:rsidR="00843BAD" w:rsidRPr="00CD71E6" w14:paraId="7E9432ED" w14:textId="77777777" w:rsidTr="00CD71E6">
        <w:tc>
          <w:tcPr>
            <w:tcW w:w="2119" w:type="dxa"/>
          </w:tcPr>
          <w:p w14:paraId="160B9EF4" w14:textId="58B22FD8" w:rsidR="00843BAD" w:rsidRPr="00CD71E6" w:rsidRDefault="00843BAD" w:rsidP="00CD71E6">
            <w:pPr>
              <w:spacing w:after="120" w:line="240" w:lineRule="auto"/>
              <w:rPr>
                <w:sz w:val="20"/>
                <w:lang w:val="fr-CA"/>
              </w:rPr>
            </w:pPr>
            <w:r w:rsidRPr="00CD71E6">
              <w:rPr>
                <w:sz w:val="20"/>
                <w:lang w:val="fr-CA"/>
              </w:rPr>
              <w:t>9. Accroître le nombre d’anciens étudiants du Collège dans les postes professionnels et de gestion.</w:t>
            </w:r>
          </w:p>
        </w:tc>
        <w:tc>
          <w:tcPr>
            <w:tcW w:w="2120" w:type="dxa"/>
          </w:tcPr>
          <w:p w14:paraId="56DDABFD" w14:textId="77777777" w:rsidR="00843BAD" w:rsidRPr="00CD71E6" w:rsidRDefault="00843BAD" w:rsidP="00CD71E6">
            <w:pPr>
              <w:spacing w:after="120" w:line="240" w:lineRule="auto"/>
              <w:rPr>
                <w:sz w:val="20"/>
                <w:lang w:val="fr-CA"/>
              </w:rPr>
            </w:pPr>
            <w:r w:rsidRPr="00CD71E6">
              <w:rPr>
                <w:sz w:val="20"/>
                <w:lang w:val="fr-CA"/>
              </w:rPr>
              <w:t>Accroître le nombre d’anciens étudiants du Collège dans les catégories des professionnels et des cadres intermédiaires.</w:t>
            </w:r>
          </w:p>
        </w:tc>
        <w:tc>
          <w:tcPr>
            <w:tcW w:w="2119" w:type="dxa"/>
          </w:tcPr>
          <w:p w14:paraId="111BEF57" w14:textId="77777777" w:rsidR="00843BAD" w:rsidRPr="00CD71E6" w:rsidRDefault="00843BAD" w:rsidP="00CD71E6">
            <w:pPr>
              <w:spacing w:after="120" w:line="240" w:lineRule="auto"/>
              <w:rPr>
                <w:sz w:val="20"/>
                <w:lang w:val="fr-CA"/>
              </w:rPr>
            </w:pPr>
            <w:r w:rsidRPr="00CD71E6">
              <w:rPr>
                <w:sz w:val="20"/>
                <w:lang w:val="fr-CA"/>
              </w:rPr>
              <w:t>Ébaucher une stratégie pour activement recruter d’anciens étudiants du Collège dans les catégories des cadres intermédiaires et des professionnels.</w:t>
            </w:r>
          </w:p>
        </w:tc>
        <w:tc>
          <w:tcPr>
            <w:tcW w:w="2120" w:type="dxa"/>
          </w:tcPr>
          <w:p w14:paraId="77B99BB1" w14:textId="77777777" w:rsidR="00843BAD" w:rsidRPr="00CD71E6" w:rsidRDefault="00843BAD" w:rsidP="00CD71E6">
            <w:pPr>
              <w:spacing w:after="120" w:line="240" w:lineRule="auto"/>
              <w:rPr>
                <w:sz w:val="20"/>
                <w:lang w:val="fr-CA"/>
              </w:rPr>
            </w:pPr>
            <w:r w:rsidRPr="00CD71E6">
              <w:rPr>
                <w:sz w:val="20"/>
                <w:lang w:val="fr-CA"/>
              </w:rPr>
              <w:t>Directeur financier</w:t>
            </w:r>
          </w:p>
          <w:p w14:paraId="2696D342" w14:textId="77777777" w:rsidR="00843BAD" w:rsidRPr="00CD71E6" w:rsidRDefault="00843BAD" w:rsidP="00CD71E6">
            <w:pPr>
              <w:spacing w:after="120" w:line="240" w:lineRule="auto"/>
              <w:rPr>
                <w:sz w:val="20"/>
                <w:lang w:val="fr-CA"/>
              </w:rPr>
            </w:pPr>
            <w:r w:rsidRPr="00CD71E6">
              <w:rPr>
                <w:sz w:val="20"/>
                <w:lang w:val="fr-CA"/>
              </w:rPr>
              <w:t>Gestionnaire des ressources humaines</w:t>
            </w:r>
          </w:p>
          <w:p w14:paraId="03334B7E" w14:textId="77777777" w:rsidR="00843BAD" w:rsidRPr="00CD71E6" w:rsidRDefault="00843BAD" w:rsidP="00CD71E6">
            <w:pPr>
              <w:spacing w:after="120" w:line="240" w:lineRule="auto"/>
              <w:rPr>
                <w:sz w:val="20"/>
                <w:lang w:val="fr-CA"/>
              </w:rPr>
            </w:pPr>
            <w:r w:rsidRPr="00CD71E6">
              <w:rPr>
                <w:sz w:val="20"/>
                <w:lang w:val="fr-CA"/>
              </w:rPr>
              <w:t>Directeur des politiques et de la planification stratégique</w:t>
            </w:r>
          </w:p>
        </w:tc>
        <w:tc>
          <w:tcPr>
            <w:tcW w:w="1098" w:type="dxa"/>
          </w:tcPr>
          <w:p w14:paraId="61E3E34F" w14:textId="77777777" w:rsidR="00843BAD" w:rsidRPr="00CD71E6" w:rsidRDefault="00843BAD" w:rsidP="00CD71E6">
            <w:pPr>
              <w:rPr>
                <w:sz w:val="20"/>
                <w:lang w:val="fr-CA"/>
              </w:rPr>
            </w:pPr>
            <w:r w:rsidRPr="00CD71E6">
              <w:rPr>
                <w:sz w:val="20"/>
                <w:lang w:val="fr-CA"/>
              </w:rPr>
              <w:t>2019-2020 T4</w:t>
            </w:r>
          </w:p>
        </w:tc>
      </w:tr>
    </w:tbl>
    <w:p w14:paraId="1672AE27" w14:textId="77777777" w:rsidR="00843BAD" w:rsidRPr="00CD71E6" w:rsidRDefault="00843BAD" w:rsidP="00843BAD">
      <w:pPr>
        <w:rPr>
          <w:lang w:val="fr-CA"/>
        </w:rPr>
      </w:pPr>
    </w:p>
    <w:p w14:paraId="22D1C60E" w14:textId="77777777" w:rsidR="008D5107" w:rsidRPr="00CD71E6" w:rsidRDefault="008D5107" w:rsidP="008D5107">
      <w:pPr>
        <w:pStyle w:val="Heading3"/>
        <w:rPr>
          <w:lang w:val="fr-CA"/>
        </w:rPr>
      </w:pPr>
      <w:bookmarkStart w:id="99" w:name="_Toc41053740"/>
      <w:r w:rsidRPr="00CD71E6">
        <w:rPr>
          <w:bCs/>
          <w:lang w:val="fr-CA"/>
        </w:rPr>
        <w:lastRenderedPageBreak/>
        <w:t>Mesures de planification et de supervision en matière de formation et de perfectionnement</w:t>
      </w:r>
      <w:bookmarkEnd w:id="99"/>
    </w:p>
    <w:tbl>
      <w:tblPr>
        <w:tblStyle w:val="TableGrid1"/>
        <w:tblW w:w="0" w:type="auto"/>
        <w:tblLook w:val="04A0" w:firstRow="1" w:lastRow="0" w:firstColumn="1" w:lastColumn="0" w:noHBand="0" w:noVBand="1"/>
      </w:tblPr>
      <w:tblGrid>
        <w:gridCol w:w="2079"/>
        <w:gridCol w:w="2080"/>
        <w:gridCol w:w="2079"/>
        <w:gridCol w:w="2072"/>
        <w:gridCol w:w="1266"/>
      </w:tblGrid>
      <w:tr w:rsidR="008D5107" w:rsidRPr="00CD71E6" w14:paraId="37EE7518" w14:textId="77777777" w:rsidTr="008D5107">
        <w:trPr>
          <w:trHeight w:val="346"/>
          <w:tblHeader/>
        </w:trPr>
        <w:tc>
          <w:tcPr>
            <w:tcW w:w="2119" w:type="dxa"/>
            <w:shd w:val="clear" w:color="auto" w:fill="000000" w:themeFill="text1"/>
            <w:vAlign w:val="center"/>
          </w:tcPr>
          <w:p w14:paraId="64A7B923"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OBJECTIF</w:t>
            </w:r>
          </w:p>
        </w:tc>
        <w:tc>
          <w:tcPr>
            <w:tcW w:w="2120" w:type="dxa"/>
            <w:shd w:val="clear" w:color="auto" w:fill="000000" w:themeFill="text1"/>
            <w:vAlign w:val="center"/>
          </w:tcPr>
          <w:p w14:paraId="11765A72"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RÉSULTATS ESCOMPTÉS</w:t>
            </w:r>
          </w:p>
        </w:tc>
        <w:tc>
          <w:tcPr>
            <w:tcW w:w="2119" w:type="dxa"/>
            <w:shd w:val="clear" w:color="auto" w:fill="000000" w:themeFill="text1"/>
            <w:vAlign w:val="center"/>
          </w:tcPr>
          <w:p w14:paraId="04787C05"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ACTIONS</w:t>
            </w:r>
          </w:p>
        </w:tc>
        <w:tc>
          <w:tcPr>
            <w:tcW w:w="2120" w:type="dxa"/>
            <w:shd w:val="clear" w:color="auto" w:fill="000000" w:themeFill="text1"/>
            <w:vAlign w:val="center"/>
          </w:tcPr>
          <w:p w14:paraId="1D3A6C90"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RESPONSABILITÉ</w:t>
            </w:r>
          </w:p>
        </w:tc>
        <w:tc>
          <w:tcPr>
            <w:tcW w:w="1098" w:type="dxa"/>
            <w:shd w:val="clear" w:color="auto" w:fill="000000" w:themeFill="text1"/>
            <w:vAlign w:val="center"/>
          </w:tcPr>
          <w:p w14:paraId="6563923F"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ÉCHÉANCIER</w:t>
            </w:r>
          </w:p>
        </w:tc>
      </w:tr>
      <w:tr w:rsidR="0084593E" w:rsidRPr="00CD71E6" w14:paraId="3696B123" w14:textId="77777777" w:rsidTr="008D5107">
        <w:tc>
          <w:tcPr>
            <w:tcW w:w="2119" w:type="dxa"/>
          </w:tcPr>
          <w:p w14:paraId="520EFD5F" w14:textId="55563C2D" w:rsidR="0084593E" w:rsidRPr="00CD71E6" w:rsidRDefault="00843BAD" w:rsidP="002A53C8">
            <w:pPr>
              <w:spacing w:after="120" w:line="240" w:lineRule="auto"/>
              <w:rPr>
                <w:rFonts w:eastAsia="Tw Cen MT" w:cs="Times New Roman"/>
                <w:szCs w:val="20"/>
                <w:lang w:val="fr-CA"/>
              </w:rPr>
            </w:pPr>
            <w:r w:rsidRPr="00CD71E6">
              <w:rPr>
                <w:sz w:val="20"/>
                <w:lang w:val="fr-CA"/>
              </w:rPr>
              <w:t>10. Élaborer des plans de relève du CAN et en faire le suivi.</w:t>
            </w:r>
          </w:p>
        </w:tc>
        <w:tc>
          <w:tcPr>
            <w:tcW w:w="2120" w:type="dxa"/>
          </w:tcPr>
          <w:p w14:paraId="241B15AE" w14:textId="23710910" w:rsidR="0084593E" w:rsidRPr="00CD71E6" w:rsidRDefault="0084593E" w:rsidP="002A53C8">
            <w:pPr>
              <w:spacing w:after="120" w:line="240" w:lineRule="auto"/>
              <w:rPr>
                <w:rFonts w:eastAsia="Tw Cen MT" w:cs="Times New Roman"/>
                <w:szCs w:val="20"/>
                <w:lang w:val="fr-CA"/>
              </w:rPr>
            </w:pPr>
            <w:r w:rsidRPr="00CD71E6">
              <w:rPr>
                <w:sz w:val="20"/>
                <w:lang w:val="fr-CA"/>
              </w:rPr>
              <w:t>Les plans de relève sont élaborés, surveillés et mis à jour au besoin.</w:t>
            </w:r>
          </w:p>
        </w:tc>
        <w:tc>
          <w:tcPr>
            <w:tcW w:w="2119" w:type="dxa"/>
          </w:tcPr>
          <w:p w14:paraId="3E1B8AD4" w14:textId="42758134" w:rsidR="0084593E" w:rsidRPr="00CD71E6" w:rsidRDefault="0084593E" w:rsidP="002A53C8">
            <w:pPr>
              <w:spacing w:after="120" w:line="240" w:lineRule="auto"/>
              <w:rPr>
                <w:rFonts w:eastAsia="Tw Cen MT" w:cs="Times New Roman"/>
                <w:szCs w:val="20"/>
                <w:lang w:val="fr-CA"/>
              </w:rPr>
            </w:pPr>
            <w:r w:rsidRPr="00CD71E6">
              <w:rPr>
                <w:sz w:val="20"/>
                <w:lang w:val="fr-CA"/>
              </w:rPr>
              <w:t>Élaborer des plans de relèves qui lient le perfectionnement des Inuits à des postes ciblés.</w:t>
            </w:r>
          </w:p>
        </w:tc>
        <w:tc>
          <w:tcPr>
            <w:tcW w:w="2120" w:type="dxa"/>
          </w:tcPr>
          <w:p w14:paraId="30EA924A" w14:textId="77777777" w:rsidR="0084593E" w:rsidRPr="00CD71E6" w:rsidRDefault="0084593E" w:rsidP="002A53C8">
            <w:pPr>
              <w:spacing w:after="120" w:line="240" w:lineRule="auto"/>
              <w:rPr>
                <w:sz w:val="20"/>
                <w:lang w:val="fr-CA"/>
              </w:rPr>
            </w:pPr>
            <w:r w:rsidRPr="00CD71E6">
              <w:rPr>
                <w:sz w:val="20"/>
                <w:lang w:val="fr-CA"/>
              </w:rPr>
              <w:t>Directeur financier</w:t>
            </w:r>
          </w:p>
          <w:p w14:paraId="31FAF807" w14:textId="77777777" w:rsidR="0084593E" w:rsidRPr="00CD71E6" w:rsidRDefault="0084593E" w:rsidP="002A53C8">
            <w:pPr>
              <w:spacing w:after="120" w:line="240" w:lineRule="auto"/>
              <w:rPr>
                <w:sz w:val="20"/>
                <w:lang w:val="fr-CA"/>
              </w:rPr>
            </w:pPr>
            <w:r w:rsidRPr="00CD71E6">
              <w:rPr>
                <w:sz w:val="20"/>
                <w:lang w:val="fr-CA"/>
              </w:rPr>
              <w:t>Gestionnaire des ressources humaines</w:t>
            </w:r>
          </w:p>
          <w:p w14:paraId="41A9BFF5" w14:textId="0409E18A" w:rsidR="0084593E" w:rsidRPr="00CD71E6" w:rsidRDefault="0084593E" w:rsidP="002A53C8">
            <w:pPr>
              <w:spacing w:after="120" w:line="240" w:lineRule="auto"/>
              <w:rPr>
                <w:rFonts w:eastAsia="Tw Cen MT" w:cs="Times New Roman"/>
                <w:szCs w:val="20"/>
                <w:lang w:val="fr-CA"/>
              </w:rPr>
            </w:pPr>
            <w:r w:rsidRPr="00CD71E6">
              <w:rPr>
                <w:sz w:val="20"/>
                <w:lang w:val="fr-CA"/>
              </w:rPr>
              <w:t>Cadre supérieur du CAN</w:t>
            </w:r>
          </w:p>
        </w:tc>
        <w:tc>
          <w:tcPr>
            <w:tcW w:w="1098" w:type="dxa"/>
          </w:tcPr>
          <w:p w14:paraId="2835E4C9" w14:textId="7268CA60" w:rsidR="0084593E" w:rsidRPr="00CD71E6" w:rsidRDefault="0084593E" w:rsidP="002A53C8">
            <w:pPr>
              <w:spacing w:after="120" w:line="240" w:lineRule="auto"/>
              <w:rPr>
                <w:rFonts w:eastAsia="Tw Cen MT" w:cs="Times New Roman"/>
                <w:szCs w:val="20"/>
                <w:lang w:val="fr-CA"/>
              </w:rPr>
            </w:pPr>
            <w:r w:rsidRPr="00CD71E6">
              <w:rPr>
                <w:sz w:val="20"/>
                <w:lang w:val="fr-CA"/>
              </w:rPr>
              <w:t>2020-2021 T1</w:t>
            </w:r>
          </w:p>
        </w:tc>
      </w:tr>
      <w:tr w:rsidR="0084593E" w:rsidRPr="00CD71E6" w14:paraId="614E1094" w14:textId="77777777" w:rsidTr="008D5107">
        <w:tc>
          <w:tcPr>
            <w:tcW w:w="2119" w:type="dxa"/>
          </w:tcPr>
          <w:p w14:paraId="4E165572" w14:textId="3FA7F5A2" w:rsidR="0084593E" w:rsidRPr="00CD71E6" w:rsidRDefault="00843BAD" w:rsidP="002A53C8">
            <w:pPr>
              <w:spacing w:after="120" w:line="240" w:lineRule="auto"/>
              <w:rPr>
                <w:rFonts w:eastAsia="Tw Cen MT" w:cs="Times New Roman"/>
                <w:szCs w:val="20"/>
                <w:lang w:val="fr-CA"/>
              </w:rPr>
            </w:pPr>
            <w:r w:rsidRPr="00CD71E6">
              <w:rPr>
                <w:sz w:val="20"/>
                <w:lang w:val="fr-CA"/>
              </w:rPr>
              <w:t>11. Plans de formation et de perfectionnement professionnel pour les employés inuits.</w:t>
            </w:r>
          </w:p>
        </w:tc>
        <w:tc>
          <w:tcPr>
            <w:tcW w:w="2120" w:type="dxa"/>
          </w:tcPr>
          <w:p w14:paraId="49D8C610" w14:textId="76459748" w:rsidR="0084593E" w:rsidRPr="00CD71E6" w:rsidRDefault="0084593E" w:rsidP="002A53C8">
            <w:pPr>
              <w:spacing w:after="120" w:line="240" w:lineRule="auto"/>
              <w:rPr>
                <w:sz w:val="20"/>
                <w:lang w:val="fr-CA"/>
              </w:rPr>
            </w:pPr>
            <w:r w:rsidRPr="00CD71E6">
              <w:rPr>
                <w:sz w:val="20"/>
                <w:lang w:val="fr-CA"/>
              </w:rPr>
              <w:t xml:space="preserve">Des plans de perfectionnement sont en place pour le personnel inuit et sont liés aux plans de relève du CAN, selon les besoins. </w:t>
            </w:r>
          </w:p>
        </w:tc>
        <w:tc>
          <w:tcPr>
            <w:tcW w:w="2119" w:type="dxa"/>
          </w:tcPr>
          <w:p w14:paraId="1C3330E0" w14:textId="273285A5" w:rsidR="0084593E" w:rsidRPr="00CD71E6" w:rsidRDefault="0084593E" w:rsidP="002A53C8">
            <w:pPr>
              <w:spacing w:after="120" w:line="240" w:lineRule="auto"/>
              <w:rPr>
                <w:rFonts w:eastAsia="Tw Cen MT" w:cs="Times New Roman"/>
                <w:szCs w:val="20"/>
                <w:lang w:val="fr-CA"/>
              </w:rPr>
            </w:pPr>
            <w:r w:rsidRPr="00CD71E6">
              <w:rPr>
                <w:sz w:val="20"/>
                <w:lang w:val="fr-CA"/>
              </w:rPr>
              <w:t xml:space="preserve">Les gestionnaires du rendement élaborent des plans de perfectionnement du personnel inuit. </w:t>
            </w:r>
          </w:p>
        </w:tc>
        <w:tc>
          <w:tcPr>
            <w:tcW w:w="2120" w:type="dxa"/>
          </w:tcPr>
          <w:p w14:paraId="583DCEC0" w14:textId="77777777" w:rsidR="0084593E" w:rsidRPr="00CD71E6" w:rsidRDefault="0084593E" w:rsidP="002A53C8">
            <w:pPr>
              <w:spacing w:after="120" w:line="240" w:lineRule="auto"/>
              <w:rPr>
                <w:sz w:val="20"/>
                <w:lang w:val="fr-CA"/>
              </w:rPr>
            </w:pPr>
            <w:r w:rsidRPr="00CD71E6">
              <w:rPr>
                <w:sz w:val="20"/>
                <w:lang w:val="fr-CA"/>
              </w:rPr>
              <w:t>Directeur financier</w:t>
            </w:r>
          </w:p>
          <w:p w14:paraId="56318459" w14:textId="77777777" w:rsidR="0084593E" w:rsidRPr="00CD71E6" w:rsidRDefault="0084593E" w:rsidP="002A53C8">
            <w:pPr>
              <w:spacing w:after="120" w:line="240" w:lineRule="auto"/>
              <w:rPr>
                <w:sz w:val="20"/>
                <w:lang w:val="fr-CA"/>
              </w:rPr>
            </w:pPr>
            <w:r w:rsidRPr="00CD71E6">
              <w:rPr>
                <w:sz w:val="20"/>
                <w:lang w:val="fr-CA"/>
              </w:rPr>
              <w:t>Gestionnaire des ressources humaines</w:t>
            </w:r>
          </w:p>
          <w:p w14:paraId="72E6CBC7" w14:textId="44AF3A0D" w:rsidR="0084593E" w:rsidRPr="00CD71E6" w:rsidRDefault="0084593E" w:rsidP="002A53C8">
            <w:pPr>
              <w:spacing w:after="120" w:line="240" w:lineRule="auto"/>
              <w:rPr>
                <w:rFonts w:eastAsia="Tw Cen MT" w:cs="Times New Roman"/>
                <w:szCs w:val="20"/>
                <w:lang w:val="fr-CA"/>
              </w:rPr>
            </w:pPr>
            <w:r w:rsidRPr="00CD71E6">
              <w:rPr>
                <w:sz w:val="20"/>
                <w:lang w:val="fr-CA"/>
              </w:rPr>
              <w:t>Cadre supérieur du CAN</w:t>
            </w:r>
          </w:p>
        </w:tc>
        <w:tc>
          <w:tcPr>
            <w:tcW w:w="1098" w:type="dxa"/>
          </w:tcPr>
          <w:p w14:paraId="1152D7E5" w14:textId="77777777" w:rsidR="0084593E" w:rsidRPr="00CD71E6" w:rsidRDefault="0084593E" w:rsidP="002A53C8">
            <w:pPr>
              <w:spacing w:after="120" w:line="240" w:lineRule="auto"/>
              <w:rPr>
                <w:sz w:val="20"/>
                <w:lang w:val="fr-CA"/>
              </w:rPr>
            </w:pPr>
            <w:r w:rsidRPr="00CD71E6">
              <w:rPr>
                <w:sz w:val="20"/>
                <w:lang w:val="fr-CA"/>
              </w:rPr>
              <w:t>2020-2021 T1</w:t>
            </w:r>
          </w:p>
          <w:p w14:paraId="1B24794C" w14:textId="77777777" w:rsidR="0084593E" w:rsidRPr="00CD71E6" w:rsidRDefault="0084593E" w:rsidP="002A53C8">
            <w:pPr>
              <w:spacing w:after="120" w:line="240" w:lineRule="auto"/>
              <w:rPr>
                <w:rFonts w:eastAsia="Tw Cen MT" w:cs="Times New Roman"/>
                <w:szCs w:val="20"/>
                <w:lang w:val="fr-CA"/>
              </w:rPr>
            </w:pPr>
          </w:p>
        </w:tc>
      </w:tr>
    </w:tbl>
    <w:p w14:paraId="25F31997" w14:textId="77777777" w:rsidR="008D5107" w:rsidRPr="00CD71E6" w:rsidRDefault="008D5107" w:rsidP="002A53C8">
      <w:pPr>
        <w:pStyle w:val="Heading3"/>
        <w:keepNext/>
        <w:rPr>
          <w:rFonts w:cs="Arial"/>
          <w:lang w:val="fr-CA"/>
        </w:rPr>
      </w:pPr>
      <w:bookmarkStart w:id="100" w:name="_Toc41053741"/>
      <w:r w:rsidRPr="00CD71E6">
        <w:rPr>
          <w:bCs/>
          <w:lang w:val="fr-CA"/>
        </w:rPr>
        <w:t>Prestation de programmes d’études, de formation et de perfectionnement</w:t>
      </w:r>
      <w:bookmarkEnd w:id="100"/>
    </w:p>
    <w:tbl>
      <w:tblPr>
        <w:tblStyle w:val="TableGrid1"/>
        <w:tblW w:w="0" w:type="auto"/>
        <w:tblLook w:val="04A0" w:firstRow="1" w:lastRow="0" w:firstColumn="1" w:lastColumn="0" w:noHBand="0" w:noVBand="1"/>
      </w:tblPr>
      <w:tblGrid>
        <w:gridCol w:w="2084"/>
        <w:gridCol w:w="2064"/>
        <w:gridCol w:w="2084"/>
        <w:gridCol w:w="2078"/>
        <w:gridCol w:w="1266"/>
      </w:tblGrid>
      <w:tr w:rsidR="008D5107" w:rsidRPr="00CD71E6" w14:paraId="03160C7E" w14:textId="77777777" w:rsidTr="008D5107">
        <w:trPr>
          <w:trHeight w:val="346"/>
          <w:tblHeader/>
        </w:trPr>
        <w:tc>
          <w:tcPr>
            <w:tcW w:w="2119" w:type="dxa"/>
            <w:shd w:val="clear" w:color="auto" w:fill="000000" w:themeFill="text1"/>
            <w:vAlign w:val="center"/>
          </w:tcPr>
          <w:p w14:paraId="67ACAAC3"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OBJECTIF</w:t>
            </w:r>
          </w:p>
        </w:tc>
        <w:tc>
          <w:tcPr>
            <w:tcW w:w="2120" w:type="dxa"/>
            <w:shd w:val="clear" w:color="auto" w:fill="000000" w:themeFill="text1"/>
            <w:vAlign w:val="center"/>
          </w:tcPr>
          <w:p w14:paraId="661FED2E"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RÉSULTATS ESCOMPTÉS</w:t>
            </w:r>
          </w:p>
        </w:tc>
        <w:tc>
          <w:tcPr>
            <w:tcW w:w="2119" w:type="dxa"/>
            <w:shd w:val="clear" w:color="auto" w:fill="000000" w:themeFill="text1"/>
            <w:vAlign w:val="center"/>
          </w:tcPr>
          <w:p w14:paraId="71DADE97"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ACTIONS</w:t>
            </w:r>
          </w:p>
        </w:tc>
        <w:tc>
          <w:tcPr>
            <w:tcW w:w="2120" w:type="dxa"/>
            <w:shd w:val="clear" w:color="auto" w:fill="000000" w:themeFill="text1"/>
            <w:vAlign w:val="center"/>
          </w:tcPr>
          <w:p w14:paraId="749A41BC"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RESPONSABILITÉ</w:t>
            </w:r>
          </w:p>
        </w:tc>
        <w:tc>
          <w:tcPr>
            <w:tcW w:w="1098" w:type="dxa"/>
            <w:shd w:val="clear" w:color="auto" w:fill="000000" w:themeFill="text1"/>
            <w:vAlign w:val="center"/>
          </w:tcPr>
          <w:p w14:paraId="5CD8C54D"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ÉCHÉANCIER</w:t>
            </w:r>
          </w:p>
        </w:tc>
      </w:tr>
      <w:tr w:rsidR="00A2733C" w:rsidRPr="00CD71E6" w14:paraId="49FBB61F" w14:textId="77777777" w:rsidTr="008D5107">
        <w:tc>
          <w:tcPr>
            <w:tcW w:w="2119" w:type="dxa"/>
          </w:tcPr>
          <w:p w14:paraId="346F4721" w14:textId="00228C1D" w:rsidR="00A2733C" w:rsidRPr="00CD71E6" w:rsidRDefault="00843BAD" w:rsidP="002A53C8">
            <w:pPr>
              <w:spacing w:after="120" w:line="240" w:lineRule="auto"/>
              <w:rPr>
                <w:sz w:val="20"/>
                <w:lang w:val="fr-CA"/>
              </w:rPr>
            </w:pPr>
            <w:r w:rsidRPr="00CD71E6">
              <w:rPr>
                <w:sz w:val="20"/>
                <w:lang w:val="fr-CA"/>
              </w:rPr>
              <w:t>12. Traiter les lacunes relevées dans le marché du travail relativement aux postes spécialisés.</w:t>
            </w:r>
          </w:p>
        </w:tc>
        <w:tc>
          <w:tcPr>
            <w:tcW w:w="2120" w:type="dxa"/>
          </w:tcPr>
          <w:p w14:paraId="2C089E66" w14:textId="2DEBF9F8" w:rsidR="00A2733C" w:rsidRPr="00CD71E6" w:rsidRDefault="00A2733C" w:rsidP="002A53C8">
            <w:pPr>
              <w:spacing w:after="120" w:line="240" w:lineRule="auto"/>
              <w:rPr>
                <w:sz w:val="20"/>
                <w:lang w:val="fr-CA"/>
              </w:rPr>
            </w:pPr>
            <w:r w:rsidRPr="00CD71E6">
              <w:rPr>
                <w:sz w:val="20"/>
                <w:lang w:val="fr-CA"/>
              </w:rPr>
              <w:t>Une hausse des bourses d’études permettra de hausser le nombre potentiel d’Inuits qualifiés pour des postes spécialisés au Collège.</w:t>
            </w:r>
          </w:p>
        </w:tc>
        <w:tc>
          <w:tcPr>
            <w:tcW w:w="2119" w:type="dxa"/>
          </w:tcPr>
          <w:p w14:paraId="61B167A0" w14:textId="50E1598A" w:rsidR="00A2733C" w:rsidRPr="00CD71E6" w:rsidRDefault="00A2733C" w:rsidP="002A53C8">
            <w:pPr>
              <w:spacing w:after="120" w:line="240" w:lineRule="auto"/>
              <w:rPr>
                <w:sz w:val="20"/>
                <w:lang w:val="fr-CA"/>
              </w:rPr>
            </w:pPr>
            <w:r w:rsidRPr="00CD71E6">
              <w:rPr>
                <w:sz w:val="20"/>
                <w:lang w:val="fr-CA"/>
              </w:rPr>
              <w:t>Lancer la Fondation du Collège de l’Arctique du Nunavut.</w:t>
            </w:r>
          </w:p>
        </w:tc>
        <w:tc>
          <w:tcPr>
            <w:tcW w:w="2120" w:type="dxa"/>
          </w:tcPr>
          <w:p w14:paraId="7034D0AE" w14:textId="77777777" w:rsidR="00A2733C" w:rsidRPr="00CD71E6" w:rsidRDefault="00A2733C" w:rsidP="002A53C8">
            <w:pPr>
              <w:spacing w:after="120" w:line="240" w:lineRule="auto"/>
              <w:rPr>
                <w:sz w:val="20"/>
                <w:lang w:val="fr-CA"/>
              </w:rPr>
            </w:pPr>
            <w:r w:rsidRPr="00CD71E6">
              <w:rPr>
                <w:sz w:val="20"/>
                <w:lang w:val="fr-CA"/>
              </w:rPr>
              <w:t>Économe</w:t>
            </w:r>
          </w:p>
          <w:p w14:paraId="3536A357" w14:textId="77777777" w:rsidR="00A2733C" w:rsidRPr="00CD71E6" w:rsidRDefault="00A2733C" w:rsidP="002A53C8">
            <w:pPr>
              <w:spacing w:after="120" w:line="240" w:lineRule="auto"/>
              <w:rPr>
                <w:sz w:val="20"/>
                <w:lang w:val="fr-CA"/>
              </w:rPr>
            </w:pPr>
            <w:r w:rsidRPr="00CD71E6">
              <w:rPr>
                <w:sz w:val="20"/>
                <w:lang w:val="fr-CA"/>
              </w:rPr>
              <w:t>Vice-président</w:t>
            </w:r>
          </w:p>
          <w:p w14:paraId="6DE14448" w14:textId="0C250B76" w:rsidR="00A2733C" w:rsidRPr="00CD71E6" w:rsidRDefault="00A2733C" w:rsidP="002A53C8">
            <w:pPr>
              <w:spacing w:after="120" w:line="240" w:lineRule="auto"/>
              <w:rPr>
                <w:sz w:val="20"/>
                <w:lang w:val="fr-CA"/>
              </w:rPr>
            </w:pPr>
            <w:r w:rsidRPr="00CD71E6">
              <w:rPr>
                <w:sz w:val="20"/>
                <w:lang w:val="fr-CA"/>
              </w:rPr>
              <w:t>Directeur des politiques et de la planification stratégique</w:t>
            </w:r>
          </w:p>
        </w:tc>
        <w:tc>
          <w:tcPr>
            <w:tcW w:w="1098" w:type="dxa"/>
          </w:tcPr>
          <w:p w14:paraId="76057238" w14:textId="043572F4" w:rsidR="00A2733C" w:rsidRPr="00CD71E6" w:rsidRDefault="00A2733C" w:rsidP="002A53C8">
            <w:pPr>
              <w:spacing w:after="120" w:line="240" w:lineRule="auto"/>
              <w:rPr>
                <w:sz w:val="20"/>
                <w:lang w:val="fr-CA"/>
              </w:rPr>
            </w:pPr>
            <w:r w:rsidRPr="00CD71E6">
              <w:rPr>
                <w:sz w:val="20"/>
                <w:lang w:val="fr-CA"/>
              </w:rPr>
              <w:t>2018-2019 T4</w:t>
            </w:r>
          </w:p>
        </w:tc>
      </w:tr>
      <w:tr w:rsidR="00A2733C" w:rsidRPr="00CD71E6" w14:paraId="19368FC1" w14:textId="77777777" w:rsidTr="008D5107">
        <w:tc>
          <w:tcPr>
            <w:tcW w:w="2119" w:type="dxa"/>
          </w:tcPr>
          <w:p w14:paraId="46CC4CF6" w14:textId="5BEDFEE7" w:rsidR="00A2733C" w:rsidRPr="00CD71E6" w:rsidRDefault="00843BAD" w:rsidP="002A53C8">
            <w:pPr>
              <w:spacing w:after="120" w:line="240" w:lineRule="auto"/>
              <w:rPr>
                <w:sz w:val="20"/>
                <w:lang w:val="fr-CA"/>
              </w:rPr>
            </w:pPr>
            <w:r w:rsidRPr="00CD71E6">
              <w:rPr>
                <w:sz w:val="20"/>
                <w:lang w:val="fr-CA"/>
              </w:rPr>
              <w:t>13. Le Collège énoncera des options de stages plus souples et relèvera les possibilités de partenariats avec les ministères du gouvernement du Nunavut.</w:t>
            </w:r>
          </w:p>
        </w:tc>
        <w:tc>
          <w:tcPr>
            <w:tcW w:w="2120" w:type="dxa"/>
          </w:tcPr>
          <w:p w14:paraId="26B147D2" w14:textId="63F74253" w:rsidR="00A2733C" w:rsidRPr="00CD71E6" w:rsidRDefault="00A2733C" w:rsidP="002A53C8">
            <w:pPr>
              <w:spacing w:after="120" w:line="240" w:lineRule="auto"/>
              <w:rPr>
                <w:sz w:val="20"/>
                <w:lang w:val="fr-CA"/>
              </w:rPr>
            </w:pPr>
            <w:r w:rsidRPr="00CD71E6">
              <w:rPr>
                <w:sz w:val="20"/>
                <w:lang w:val="fr-CA"/>
              </w:rPr>
              <w:t>Faire connaître le Collège et le gouvernement du Nunavut en tant qu’employeurs de choix.</w:t>
            </w:r>
          </w:p>
        </w:tc>
        <w:tc>
          <w:tcPr>
            <w:tcW w:w="2119" w:type="dxa"/>
          </w:tcPr>
          <w:p w14:paraId="7A1CFD94" w14:textId="1FB86244" w:rsidR="00A2733C" w:rsidRPr="00CD71E6" w:rsidRDefault="00A2733C" w:rsidP="002A53C8">
            <w:pPr>
              <w:spacing w:after="120" w:line="240" w:lineRule="auto"/>
              <w:rPr>
                <w:sz w:val="20"/>
                <w:lang w:val="fr-CA"/>
              </w:rPr>
            </w:pPr>
            <w:r w:rsidRPr="00CD71E6">
              <w:rPr>
                <w:sz w:val="20"/>
                <w:lang w:val="fr-CA"/>
              </w:rPr>
              <w:t>Participer aux programmes de stages du gouvernement du Nunavut et rechercher des possibilités de partenariats spécialisés avec les ministères du gouvernement du Nunavut.</w:t>
            </w:r>
          </w:p>
        </w:tc>
        <w:tc>
          <w:tcPr>
            <w:tcW w:w="2120" w:type="dxa"/>
          </w:tcPr>
          <w:p w14:paraId="7F9E84B2" w14:textId="77777777" w:rsidR="00A2733C" w:rsidRPr="00CD71E6" w:rsidRDefault="00A2733C" w:rsidP="002A53C8">
            <w:pPr>
              <w:spacing w:after="120" w:line="240" w:lineRule="auto"/>
              <w:rPr>
                <w:sz w:val="20"/>
                <w:lang w:val="fr-CA"/>
              </w:rPr>
            </w:pPr>
            <w:r w:rsidRPr="00CD71E6">
              <w:rPr>
                <w:sz w:val="20"/>
                <w:lang w:val="fr-CA"/>
              </w:rPr>
              <w:t xml:space="preserve">Vice-président </w:t>
            </w:r>
          </w:p>
          <w:p w14:paraId="7F559121" w14:textId="77777777" w:rsidR="00A2733C" w:rsidRPr="00CD71E6" w:rsidRDefault="00A2733C" w:rsidP="002A53C8">
            <w:pPr>
              <w:spacing w:after="120" w:line="240" w:lineRule="auto"/>
              <w:rPr>
                <w:sz w:val="20"/>
                <w:lang w:val="fr-CA"/>
              </w:rPr>
            </w:pPr>
            <w:r w:rsidRPr="00CD71E6">
              <w:rPr>
                <w:sz w:val="20"/>
                <w:lang w:val="fr-CA"/>
              </w:rPr>
              <w:t>Directeur des services aux apprenants</w:t>
            </w:r>
          </w:p>
          <w:p w14:paraId="10AD918F" w14:textId="77777777" w:rsidR="00A2733C" w:rsidRPr="00CD71E6" w:rsidRDefault="00A2733C" w:rsidP="002A53C8">
            <w:pPr>
              <w:spacing w:after="120" w:line="240" w:lineRule="auto"/>
              <w:rPr>
                <w:sz w:val="20"/>
                <w:lang w:val="fr-CA"/>
              </w:rPr>
            </w:pPr>
            <w:r w:rsidRPr="00CD71E6">
              <w:rPr>
                <w:sz w:val="20"/>
                <w:lang w:val="fr-CA"/>
              </w:rPr>
              <w:t>Directeur financier</w:t>
            </w:r>
          </w:p>
          <w:p w14:paraId="6DB5C415" w14:textId="77777777" w:rsidR="00A2733C" w:rsidRPr="00CD71E6" w:rsidRDefault="00A2733C" w:rsidP="002A53C8">
            <w:pPr>
              <w:spacing w:after="120" w:line="240" w:lineRule="auto"/>
              <w:rPr>
                <w:sz w:val="20"/>
                <w:lang w:val="fr-CA"/>
              </w:rPr>
            </w:pPr>
            <w:r w:rsidRPr="00CD71E6">
              <w:rPr>
                <w:sz w:val="20"/>
                <w:lang w:val="fr-CA"/>
              </w:rPr>
              <w:t>Gestionnaire des ressources humaines</w:t>
            </w:r>
          </w:p>
          <w:p w14:paraId="4539231B" w14:textId="71304F1D" w:rsidR="00A2733C" w:rsidRPr="00CD71E6" w:rsidRDefault="00A2733C" w:rsidP="002A53C8">
            <w:pPr>
              <w:spacing w:after="120" w:line="240" w:lineRule="auto"/>
              <w:rPr>
                <w:sz w:val="20"/>
                <w:lang w:val="fr-CA"/>
              </w:rPr>
            </w:pPr>
            <w:r w:rsidRPr="00CD71E6">
              <w:rPr>
                <w:sz w:val="20"/>
                <w:lang w:val="fr-CA"/>
              </w:rPr>
              <w:t>Directeur des politiques et de la planification stratégique</w:t>
            </w:r>
          </w:p>
        </w:tc>
        <w:tc>
          <w:tcPr>
            <w:tcW w:w="1098" w:type="dxa"/>
          </w:tcPr>
          <w:p w14:paraId="3C04A4E4" w14:textId="6558048B" w:rsidR="00A2733C" w:rsidRPr="00CD71E6" w:rsidRDefault="00A2733C" w:rsidP="002A53C8">
            <w:pPr>
              <w:spacing w:after="120" w:line="240" w:lineRule="auto"/>
              <w:rPr>
                <w:sz w:val="20"/>
                <w:lang w:val="fr-CA"/>
              </w:rPr>
            </w:pPr>
            <w:r w:rsidRPr="00CD71E6">
              <w:rPr>
                <w:sz w:val="20"/>
                <w:lang w:val="fr-CA"/>
              </w:rPr>
              <w:t>2019-2020</w:t>
            </w:r>
            <w:r w:rsidRPr="00CD71E6">
              <w:rPr>
                <w:sz w:val="20"/>
                <w:lang w:val="fr-CA"/>
              </w:rPr>
              <w:br/>
              <w:t>T1</w:t>
            </w:r>
          </w:p>
        </w:tc>
      </w:tr>
      <w:tr w:rsidR="00A2733C" w:rsidRPr="00CD71E6" w14:paraId="3120053C" w14:textId="77777777" w:rsidTr="008D5107">
        <w:tc>
          <w:tcPr>
            <w:tcW w:w="2119" w:type="dxa"/>
          </w:tcPr>
          <w:p w14:paraId="4AAAF874" w14:textId="7912718E" w:rsidR="00A2733C" w:rsidRPr="00CD71E6" w:rsidRDefault="00843BAD" w:rsidP="002A53C8">
            <w:pPr>
              <w:spacing w:after="120" w:line="240" w:lineRule="auto"/>
              <w:rPr>
                <w:sz w:val="20"/>
                <w:lang w:val="fr-CA"/>
              </w:rPr>
            </w:pPr>
            <w:r w:rsidRPr="00CD71E6">
              <w:rPr>
                <w:sz w:val="20"/>
                <w:lang w:val="fr-CA"/>
              </w:rPr>
              <w:t>14. Fournir des voies additionnelles vers les études postsecondaires et les formations spécialisées relatives au lieu de travail.</w:t>
            </w:r>
          </w:p>
        </w:tc>
        <w:tc>
          <w:tcPr>
            <w:tcW w:w="2120" w:type="dxa"/>
          </w:tcPr>
          <w:p w14:paraId="1C0A66CA" w14:textId="6CB28802" w:rsidR="00A2733C" w:rsidRPr="00CD71E6" w:rsidRDefault="00A2733C" w:rsidP="002A53C8">
            <w:pPr>
              <w:spacing w:after="120" w:line="240" w:lineRule="auto"/>
              <w:rPr>
                <w:sz w:val="20"/>
                <w:lang w:val="fr-CA"/>
              </w:rPr>
            </w:pPr>
            <w:r w:rsidRPr="00CD71E6">
              <w:rPr>
                <w:sz w:val="20"/>
                <w:lang w:val="fr-CA"/>
              </w:rPr>
              <w:t>Combler les lacunes relevées dans le marché du travail qui sont requises pour pourvoir les postes spécialisés par des candidats inuits.</w:t>
            </w:r>
          </w:p>
        </w:tc>
        <w:tc>
          <w:tcPr>
            <w:tcW w:w="2119" w:type="dxa"/>
          </w:tcPr>
          <w:p w14:paraId="56161565" w14:textId="18189563" w:rsidR="00A2733C" w:rsidRPr="00CD71E6" w:rsidRDefault="00A2733C" w:rsidP="002A53C8">
            <w:pPr>
              <w:spacing w:after="120" w:line="240" w:lineRule="auto"/>
              <w:rPr>
                <w:sz w:val="20"/>
                <w:lang w:val="fr-CA"/>
              </w:rPr>
            </w:pPr>
            <w:r w:rsidRPr="00CD71E6">
              <w:rPr>
                <w:sz w:val="20"/>
                <w:lang w:val="fr-CA"/>
              </w:rPr>
              <w:t>Revoir les politiques relatives au perfectionnement professionnel postsecondaire du Collège et les mettre à jour au besoin.</w:t>
            </w:r>
          </w:p>
        </w:tc>
        <w:tc>
          <w:tcPr>
            <w:tcW w:w="2120" w:type="dxa"/>
          </w:tcPr>
          <w:p w14:paraId="0227B6BC" w14:textId="77777777" w:rsidR="00A2733C" w:rsidRPr="00CD71E6" w:rsidRDefault="00A2733C" w:rsidP="002A53C8">
            <w:pPr>
              <w:spacing w:after="120" w:line="240" w:lineRule="auto"/>
              <w:rPr>
                <w:sz w:val="20"/>
                <w:lang w:val="fr-CA"/>
              </w:rPr>
            </w:pPr>
            <w:r w:rsidRPr="00CD71E6">
              <w:rPr>
                <w:sz w:val="20"/>
                <w:lang w:val="fr-CA"/>
              </w:rPr>
              <w:t>Vice-président</w:t>
            </w:r>
          </w:p>
          <w:p w14:paraId="4899ED83" w14:textId="77777777" w:rsidR="00A2733C" w:rsidRPr="00CD71E6" w:rsidRDefault="00A2733C" w:rsidP="002A53C8">
            <w:pPr>
              <w:spacing w:after="120" w:line="240" w:lineRule="auto"/>
              <w:rPr>
                <w:sz w:val="20"/>
                <w:lang w:val="fr-CA"/>
              </w:rPr>
            </w:pPr>
            <w:r w:rsidRPr="00CD71E6">
              <w:rPr>
                <w:sz w:val="20"/>
                <w:lang w:val="fr-CA"/>
              </w:rPr>
              <w:t>Directeur des politiques et de la planification stratégique</w:t>
            </w:r>
          </w:p>
          <w:p w14:paraId="283F9E82" w14:textId="57F2D1C7" w:rsidR="00A2733C" w:rsidRPr="00CD71E6" w:rsidRDefault="00A2733C" w:rsidP="002A53C8">
            <w:pPr>
              <w:spacing w:after="120" w:line="240" w:lineRule="auto"/>
              <w:rPr>
                <w:sz w:val="20"/>
                <w:lang w:val="fr-CA"/>
              </w:rPr>
            </w:pPr>
          </w:p>
        </w:tc>
        <w:tc>
          <w:tcPr>
            <w:tcW w:w="1098" w:type="dxa"/>
          </w:tcPr>
          <w:p w14:paraId="2BB09A66" w14:textId="5439A2AB" w:rsidR="00A2733C" w:rsidRPr="00CD71E6" w:rsidRDefault="00A2733C" w:rsidP="002A53C8">
            <w:pPr>
              <w:spacing w:after="120" w:line="240" w:lineRule="auto"/>
              <w:rPr>
                <w:sz w:val="20"/>
                <w:lang w:val="fr-CA"/>
              </w:rPr>
            </w:pPr>
            <w:r w:rsidRPr="00CD71E6">
              <w:rPr>
                <w:sz w:val="20"/>
                <w:lang w:val="fr-CA"/>
              </w:rPr>
              <w:t>2019-2020 T2</w:t>
            </w:r>
          </w:p>
        </w:tc>
      </w:tr>
      <w:tr w:rsidR="00EF0877" w:rsidRPr="00CD71E6" w14:paraId="22124F9E" w14:textId="77777777" w:rsidTr="00684D6E">
        <w:trPr>
          <w:cantSplit/>
        </w:trPr>
        <w:tc>
          <w:tcPr>
            <w:tcW w:w="2119" w:type="dxa"/>
          </w:tcPr>
          <w:p w14:paraId="7FE9F85D" w14:textId="0602BE4F" w:rsidR="00EF0877" w:rsidRPr="00CD71E6" w:rsidRDefault="0084593E" w:rsidP="002A53C8">
            <w:pPr>
              <w:spacing w:after="120" w:line="240" w:lineRule="auto"/>
              <w:rPr>
                <w:rFonts w:eastAsia="Tw Cen MT" w:cs="Times New Roman"/>
                <w:szCs w:val="20"/>
                <w:lang w:val="fr-CA"/>
              </w:rPr>
            </w:pPr>
            <w:r w:rsidRPr="00CD71E6">
              <w:rPr>
                <w:sz w:val="20"/>
                <w:lang w:val="fr-CA"/>
              </w:rPr>
              <w:lastRenderedPageBreak/>
              <w:t>15. Faire connaître les possibilités de perfectionnement professionnel et d’études aux employés inuits du Collège.</w:t>
            </w:r>
          </w:p>
        </w:tc>
        <w:tc>
          <w:tcPr>
            <w:tcW w:w="2120" w:type="dxa"/>
          </w:tcPr>
          <w:p w14:paraId="4DEA09A3" w14:textId="5D8C3FE6" w:rsidR="00EF0877" w:rsidRPr="00CD71E6" w:rsidRDefault="00EF0877" w:rsidP="002A53C8">
            <w:pPr>
              <w:spacing w:after="120" w:line="240" w:lineRule="auto"/>
              <w:rPr>
                <w:rFonts w:eastAsia="Tw Cen MT" w:cs="Times New Roman"/>
                <w:szCs w:val="20"/>
                <w:lang w:val="fr-CA"/>
              </w:rPr>
            </w:pPr>
            <w:r w:rsidRPr="00CD71E6">
              <w:rPr>
                <w:sz w:val="20"/>
                <w:lang w:val="fr-CA"/>
              </w:rPr>
              <w:t>Une sensibilisation accrue des initiatives du Collège et du GN permettra d’accroître le mouvement des employés inuits vers les catégories des professionnels, des cadres intermédiaires et des cadres supérieurs.</w:t>
            </w:r>
          </w:p>
        </w:tc>
        <w:tc>
          <w:tcPr>
            <w:tcW w:w="2119" w:type="dxa"/>
          </w:tcPr>
          <w:p w14:paraId="26809ABE" w14:textId="687C4361" w:rsidR="00EF0877" w:rsidRPr="00CD71E6" w:rsidRDefault="00EF0877" w:rsidP="002A53C8">
            <w:pPr>
              <w:spacing w:after="120" w:line="240" w:lineRule="auto"/>
              <w:rPr>
                <w:rFonts w:eastAsia="Tw Cen MT" w:cs="Times New Roman"/>
                <w:szCs w:val="20"/>
                <w:lang w:val="fr-CA"/>
              </w:rPr>
            </w:pPr>
            <w:r w:rsidRPr="00CD71E6">
              <w:rPr>
                <w:sz w:val="20"/>
                <w:lang w:val="fr-CA"/>
              </w:rPr>
              <w:t>Mettre en œuvre une campagne de sensibilisation à l’intention des employés inuits actuels dans le cadre du plan de communication du Collège.</w:t>
            </w:r>
          </w:p>
        </w:tc>
        <w:tc>
          <w:tcPr>
            <w:tcW w:w="2120" w:type="dxa"/>
          </w:tcPr>
          <w:p w14:paraId="0231BE81" w14:textId="77777777" w:rsidR="00EF0877" w:rsidRPr="00CD71E6" w:rsidRDefault="00EF0877" w:rsidP="002A53C8">
            <w:pPr>
              <w:spacing w:after="120" w:line="240" w:lineRule="auto"/>
              <w:rPr>
                <w:sz w:val="20"/>
                <w:lang w:val="fr-CA"/>
              </w:rPr>
            </w:pPr>
            <w:r w:rsidRPr="00CD71E6">
              <w:rPr>
                <w:sz w:val="20"/>
                <w:lang w:val="fr-CA"/>
              </w:rPr>
              <w:t>Directeur des politiques et de la planification stratégique</w:t>
            </w:r>
          </w:p>
          <w:p w14:paraId="4965FB4F" w14:textId="77777777" w:rsidR="00EF0877" w:rsidRPr="00CD71E6" w:rsidRDefault="00EF0877" w:rsidP="002A53C8">
            <w:pPr>
              <w:spacing w:after="120" w:line="240" w:lineRule="auto"/>
              <w:rPr>
                <w:sz w:val="20"/>
                <w:lang w:val="fr-CA"/>
              </w:rPr>
            </w:pPr>
            <w:r w:rsidRPr="00CD71E6">
              <w:rPr>
                <w:sz w:val="20"/>
                <w:lang w:val="fr-CA"/>
              </w:rPr>
              <w:t>Agent des affaires publiques</w:t>
            </w:r>
          </w:p>
          <w:p w14:paraId="2EBD2D69" w14:textId="6866D220" w:rsidR="00EF0877" w:rsidRPr="00CD71E6" w:rsidRDefault="00EF0877" w:rsidP="002A53C8">
            <w:pPr>
              <w:spacing w:after="120" w:line="240" w:lineRule="auto"/>
              <w:rPr>
                <w:rFonts w:eastAsia="Tw Cen MT" w:cs="Times New Roman"/>
                <w:szCs w:val="20"/>
                <w:lang w:val="fr-CA"/>
              </w:rPr>
            </w:pPr>
            <w:r w:rsidRPr="00CD71E6">
              <w:rPr>
                <w:sz w:val="20"/>
                <w:lang w:val="fr-CA"/>
              </w:rPr>
              <w:t>Gestionnaire des ressources humaines</w:t>
            </w:r>
          </w:p>
        </w:tc>
        <w:tc>
          <w:tcPr>
            <w:tcW w:w="1098" w:type="dxa"/>
          </w:tcPr>
          <w:p w14:paraId="2A83EC70" w14:textId="4B9810F5" w:rsidR="00EF0877" w:rsidRPr="00CD71E6" w:rsidRDefault="00EF0877" w:rsidP="002A53C8">
            <w:pPr>
              <w:spacing w:after="120" w:line="240" w:lineRule="auto"/>
              <w:rPr>
                <w:rFonts w:eastAsia="Tw Cen MT" w:cs="Times New Roman"/>
                <w:szCs w:val="20"/>
                <w:lang w:val="fr-CA"/>
              </w:rPr>
            </w:pPr>
            <w:r w:rsidRPr="00CD71E6">
              <w:rPr>
                <w:sz w:val="20"/>
                <w:lang w:val="fr-CA"/>
              </w:rPr>
              <w:t>2019-2020 T3</w:t>
            </w:r>
          </w:p>
        </w:tc>
      </w:tr>
      <w:tr w:rsidR="00EF0877" w:rsidRPr="00CD71E6" w14:paraId="6F6D94B1" w14:textId="77777777" w:rsidTr="008D5107">
        <w:tc>
          <w:tcPr>
            <w:tcW w:w="2119" w:type="dxa"/>
          </w:tcPr>
          <w:p w14:paraId="33852C74" w14:textId="1A22E649" w:rsidR="00EF0877" w:rsidRPr="00CD71E6" w:rsidRDefault="0084593E" w:rsidP="002A53C8">
            <w:pPr>
              <w:spacing w:after="120" w:line="240" w:lineRule="auto"/>
              <w:rPr>
                <w:rFonts w:eastAsia="Tw Cen MT" w:cs="Times New Roman"/>
                <w:szCs w:val="20"/>
                <w:lang w:val="fr-CA"/>
              </w:rPr>
            </w:pPr>
            <w:r w:rsidRPr="00CD71E6">
              <w:rPr>
                <w:sz w:val="20"/>
                <w:lang w:val="fr-CA"/>
              </w:rPr>
              <w:t>16. Créer une trousse d’accueil pour les nouveaux employés du Collège.</w:t>
            </w:r>
          </w:p>
        </w:tc>
        <w:tc>
          <w:tcPr>
            <w:tcW w:w="2120" w:type="dxa"/>
          </w:tcPr>
          <w:p w14:paraId="17071FA1" w14:textId="32DF3F68" w:rsidR="00EF0877" w:rsidRPr="00CD71E6" w:rsidRDefault="00EF0877" w:rsidP="002A53C8">
            <w:pPr>
              <w:spacing w:after="120" w:line="240" w:lineRule="auto"/>
              <w:rPr>
                <w:rFonts w:eastAsia="Tw Cen MT" w:cs="Times New Roman"/>
                <w:szCs w:val="20"/>
                <w:lang w:val="fr-CA"/>
              </w:rPr>
            </w:pPr>
            <w:r w:rsidRPr="00CD71E6">
              <w:rPr>
                <w:sz w:val="20"/>
                <w:lang w:val="fr-CA"/>
              </w:rPr>
              <w:t>Améliorer l’expérience d’accueil et le taux de rétention des nouveaux employés du Collège.</w:t>
            </w:r>
          </w:p>
        </w:tc>
        <w:tc>
          <w:tcPr>
            <w:tcW w:w="2119" w:type="dxa"/>
          </w:tcPr>
          <w:p w14:paraId="075533E4" w14:textId="399058B1" w:rsidR="00EF0877" w:rsidRPr="00CD71E6" w:rsidRDefault="00EF0877" w:rsidP="002A53C8">
            <w:pPr>
              <w:spacing w:after="120" w:line="240" w:lineRule="auto"/>
              <w:rPr>
                <w:rFonts w:eastAsia="Tw Cen MT" w:cs="Times New Roman"/>
                <w:szCs w:val="20"/>
                <w:lang w:val="fr-CA"/>
              </w:rPr>
            </w:pPr>
            <w:r w:rsidRPr="00CD71E6">
              <w:rPr>
                <w:sz w:val="20"/>
                <w:lang w:val="fr-CA"/>
              </w:rPr>
              <w:t>Créer une trousse d’orientation et d’information pour l’accueil du personnel.</w:t>
            </w:r>
          </w:p>
        </w:tc>
        <w:tc>
          <w:tcPr>
            <w:tcW w:w="2120" w:type="dxa"/>
          </w:tcPr>
          <w:p w14:paraId="71A744F5" w14:textId="77777777" w:rsidR="00EF0877" w:rsidRPr="00CD71E6" w:rsidRDefault="00EF0877" w:rsidP="002A53C8">
            <w:pPr>
              <w:spacing w:after="120" w:line="240" w:lineRule="auto"/>
              <w:rPr>
                <w:sz w:val="20"/>
                <w:lang w:val="fr-CA"/>
              </w:rPr>
            </w:pPr>
            <w:r w:rsidRPr="00CD71E6">
              <w:rPr>
                <w:sz w:val="20"/>
                <w:lang w:val="fr-CA"/>
              </w:rPr>
              <w:t>Directeur financier</w:t>
            </w:r>
          </w:p>
          <w:p w14:paraId="6AB4617B" w14:textId="390D4FDC" w:rsidR="00EF0877" w:rsidRPr="00CD71E6" w:rsidRDefault="00EF0877" w:rsidP="002A53C8">
            <w:pPr>
              <w:spacing w:after="120" w:line="240" w:lineRule="auto"/>
              <w:rPr>
                <w:rFonts w:eastAsia="Tw Cen MT" w:cs="Times New Roman"/>
                <w:szCs w:val="20"/>
                <w:lang w:val="fr-CA"/>
              </w:rPr>
            </w:pPr>
            <w:r w:rsidRPr="00CD71E6">
              <w:rPr>
                <w:sz w:val="20"/>
                <w:lang w:val="fr-CA"/>
              </w:rPr>
              <w:t>Gestionnaire des ressources humaines</w:t>
            </w:r>
          </w:p>
        </w:tc>
        <w:tc>
          <w:tcPr>
            <w:tcW w:w="1098" w:type="dxa"/>
          </w:tcPr>
          <w:p w14:paraId="4EBD7147" w14:textId="2F046BB4" w:rsidR="00EF0877" w:rsidRPr="00CD71E6" w:rsidRDefault="00EF0877" w:rsidP="002A53C8">
            <w:pPr>
              <w:spacing w:after="120" w:line="240" w:lineRule="auto"/>
              <w:rPr>
                <w:sz w:val="20"/>
                <w:lang w:val="fr-CA"/>
              </w:rPr>
            </w:pPr>
            <w:r w:rsidRPr="00CD71E6">
              <w:rPr>
                <w:sz w:val="20"/>
                <w:lang w:val="fr-CA"/>
              </w:rPr>
              <w:t xml:space="preserve">2019-2020 T4 </w:t>
            </w:r>
          </w:p>
          <w:p w14:paraId="250C999B" w14:textId="77777777" w:rsidR="00EF0877" w:rsidRPr="00CD71E6" w:rsidRDefault="00EF0877" w:rsidP="002A53C8">
            <w:pPr>
              <w:spacing w:after="120" w:line="240" w:lineRule="auto"/>
              <w:rPr>
                <w:rFonts w:eastAsia="Tw Cen MT" w:cs="Times New Roman"/>
                <w:szCs w:val="20"/>
                <w:lang w:val="fr-CA"/>
              </w:rPr>
            </w:pPr>
          </w:p>
        </w:tc>
      </w:tr>
      <w:tr w:rsidR="00A2733C" w:rsidRPr="00CD71E6" w14:paraId="4C9FAFFA" w14:textId="77777777" w:rsidTr="008D5107">
        <w:tc>
          <w:tcPr>
            <w:tcW w:w="2119" w:type="dxa"/>
          </w:tcPr>
          <w:p w14:paraId="14F68ADC" w14:textId="5BB38CD4" w:rsidR="00A2733C" w:rsidRPr="00CD71E6" w:rsidRDefault="00A2733C" w:rsidP="002A53C8">
            <w:pPr>
              <w:spacing w:after="120" w:line="240" w:lineRule="auto"/>
              <w:rPr>
                <w:sz w:val="20"/>
                <w:lang w:val="fr-CA"/>
              </w:rPr>
            </w:pPr>
            <w:r w:rsidRPr="00CD71E6">
              <w:rPr>
                <w:sz w:val="20"/>
                <w:lang w:val="fr-CA"/>
              </w:rPr>
              <w:t>17. Accroître le leadership inuit au Collège.</w:t>
            </w:r>
          </w:p>
        </w:tc>
        <w:tc>
          <w:tcPr>
            <w:tcW w:w="2120" w:type="dxa"/>
          </w:tcPr>
          <w:p w14:paraId="5139D51D" w14:textId="4055B11E" w:rsidR="00A2733C" w:rsidRPr="00CD71E6" w:rsidRDefault="00A2733C" w:rsidP="002A53C8">
            <w:pPr>
              <w:spacing w:after="120" w:line="240" w:lineRule="auto"/>
              <w:rPr>
                <w:sz w:val="20"/>
                <w:lang w:val="fr-CA"/>
              </w:rPr>
            </w:pPr>
            <w:r w:rsidRPr="00CD71E6">
              <w:rPr>
                <w:sz w:val="20"/>
                <w:lang w:val="fr-CA"/>
              </w:rPr>
              <w:t>Accroître la représentation inuite dans les catégories des cadres intermédiaires et des cadres supérieurs.</w:t>
            </w:r>
          </w:p>
        </w:tc>
        <w:tc>
          <w:tcPr>
            <w:tcW w:w="2119" w:type="dxa"/>
          </w:tcPr>
          <w:p w14:paraId="32B1A668" w14:textId="3EB4BC1E" w:rsidR="00A2733C" w:rsidRPr="00CD71E6" w:rsidRDefault="00A2733C" w:rsidP="002A53C8">
            <w:pPr>
              <w:spacing w:after="120" w:line="240" w:lineRule="auto"/>
              <w:rPr>
                <w:sz w:val="20"/>
                <w:lang w:val="fr-CA"/>
              </w:rPr>
            </w:pPr>
            <w:r w:rsidRPr="00CD71E6">
              <w:rPr>
                <w:sz w:val="20"/>
                <w:lang w:val="fr-CA"/>
              </w:rPr>
              <w:t>Utiliser le programme de leadership Hivuliqtikhanut des ressources humaines pour aider les Inuits qui cherchent à se déplacer vers les catégories des cadres intermédiaires et des cadres supérieurs.</w:t>
            </w:r>
          </w:p>
        </w:tc>
        <w:tc>
          <w:tcPr>
            <w:tcW w:w="2120" w:type="dxa"/>
          </w:tcPr>
          <w:p w14:paraId="5A94C8A8" w14:textId="77777777" w:rsidR="00A2733C" w:rsidRPr="00CD71E6" w:rsidRDefault="00A2733C" w:rsidP="002A53C8">
            <w:pPr>
              <w:spacing w:after="120" w:line="240" w:lineRule="auto"/>
              <w:rPr>
                <w:sz w:val="20"/>
                <w:lang w:val="fr-CA"/>
              </w:rPr>
            </w:pPr>
            <w:r w:rsidRPr="00CD71E6">
              <w:rPr>
                <w:sz w:val="20"/>
                <w:lang w:val="fr-CA"/>
              </w:rPr>
              <w:t>Directeur financier</w:t>
            </w:r>
          </w:p>
          <w:p w14:paraId="18E2C08E" w14:textId="77777777" w:rsidR="00A2733C" w:rsidRPr="00CD71E6" w:rsidRDefault="00A2733C" w:rsidP="002A53C8">
            <w:pPr>
              <w:spacing w:after="120" w:line="240" w:lineRule="auto"/>
              <w:rPr>
                <w:sz w:val="20"/>
                <w:lang w:val="fr-CA"/>
              </w:rPr>
            </w:pPr>
            <w:r w:rsidRPr="00CD71E6">
              <w:rPr>
                <w:sz w:val="20"/>
                <w:lang w:val="fr-CA"/>
              </w:rPr>
              <w:t>Gestionnaire des ressources humaines</w:t>
            </w:r>
          </w:p>
          <w:p w14:paraId="6449BAB2" w14:textId="4E01D42A" w:rsidR="00A2733C" w:rsidRPr="00CD71E6" w:rsidRDefault="00A2733C" w:rsidP="002A53C8">
            <w:pPr>
              <w:spacing w:after="120" w:line="240" w:lineRule="auto"/>
              <w:rPr>
                <w:sz w:val="20"/>
                <w:lang w:val="fr-CA"/>
              </w:rPr>
            </w:pPr>
            <w:r w:rsidRPr="00CD71E6">
              <w:rPr>
                <w:sz w:val="20"/>
                <w:lang w:val="fr-CA"/>
              </w:rPr>
              <w:t>Cadre supérieur du CAN</w:t>
            </w:r>
          </w:p>
        </w:tc>
        <w:tc>
          <w:tcPr>
            <w:tcW w:w="1098" w:type="dxa"/>
          </w:tcPr>
          <w:p w14:paraId="7B8C3379" w14:textId="4B11756A" w:rsidR="00A2733C" w:rsidRPr="00CD71E6" w:rsidRDefault="00A2733C" w:rsidP="002A53C8">
            <w:pPr>
              <w:spacing w:after="120" w:line="240" w:lineRule="auto"/>
              <w:rPr>
                <w:sz w:val="20"/>
                <w:lang w:val="fr-CA"/>
              </w:rPr>
            </w:pPr>
            <w:r w:rsidRPr="00CD71E6">
              <w:rPr>
                <w:sz w:val="20"/>
                <w:lang w:val="fr-CA"/>
              </w:rPr>
              <w:t>2019-2020 T4</w:t>
            </w:r>
          </w:p>
        </w:tc>
      </w:tr>
      <w:tr w:rsidR="00A2733C" w:rsidRPr="00CD71E6" w14:paraId="648F768A" w14:textId="77777777" w:rsidTr="008D5107">
        <w:tc>
          <w:tcPr>
            <w:tcW w:w="2119" w:type="dxa"/>
          </w:tcPr>
          <w:p w14:paraId="38FF3A72" w14:textId="1E457D0D" w:rsidR="00A2733C" w:rsidRPr="00CD71E6" w:rsidRDefault="0084593E" w:rsidP="002A53C8">
            <w:pPr>
              <w:spacing w:after="120" w:line="240" w:lineRule="auto"/>
              <w:rPr>
                <w:sz w:val="20"/>
                <w:lang w:val="fr-CA"/>
              </w:rPr>
            </w:pPr>
            <w:r w:rsidRPr="00CD71E6">
              <w:rPr>
                <w:sz w:val="20"/>
                <w:lang w:val="fr-CA"/>
              </w:rPr>
              <w:t xml:space="preserve">18. Fournir des programmes additionnels pour traiter des besoins particuliers du marché du travail. </w:t>
            </w:r>
          </w:p>
        </w:tc>
        <w:tc>
          <w:tcPr>
            <w:tcW w:w="2120" w:type="dxa"/>
          </w:tcPr>
          <w:p w14:paraId="3271EB13" w14:textId="11886739" w:rsidR="00A2733C" w:rsidRPr="00CD71E6" w:rsidRDefault="00A2733C" w:rsidP="002A53C8">
            <w:pPr>
              <w:spacing w:after="120" w:line="240" w:lineRule="auto"/>
              <w:rPr>
                <w:sz w:val="20"/>
                <w:lang w:val="fr-CA"/>
              </w:rPr>
            </w:pPr>
            <w:r w:rsidRPr="00CD71E6">
              <w:rPr>
                <w:sz w:val="20"/>
                <w:lang w:val="fr-CA"/>
              </w:rPr>
              <w:t>Augmenter le nombre d’Inuits qualifiés pour pourvoir des postes spécialisés déterminés.</w:t>
            </w:r>
          </w:p>
        </w:tc>
        <w:tc>
          <w:tcPr>
            <w:tcW w:w="2119" w:type="dxa"/>
          </w:tcPr>
          <w:p w14:paraId="57541291" w14:textId="38ECA570" w:rsidR="00A2733C" w:rsidRPr="00CD71E6" w:rsidRDefault="00A2733C" w:rsidP="002A53C8">
            <w:pPr>
              <w:spacing w:after="120" w:line="240" w:lineRule="auto"/>
              <w:rPr>
                <w:sz w:val="20"/>
                <w:lang w:val="fr-CA"/>
              </w:rPr>
            </w:pPr>
            <w:r w:rsidRPr="00CD71E6">
              <w:rPr>
                <w:sz w:val="20"/>
                <w:lang w:val="fr-CA"/>
              </w:rPr>
              <w:t>Mettre en place des programmes spécialisés par courtage avec un partenaire universitaire potentiel.</w:t>
            </w:r>
          </w:p>
        </w:tc>
        <w:tc>
          <w:tcPr>
            <w:tcW w:w="2120" w:type="dxa"/>
          </w:tcPr>
          <w:p w14:paraId="4F591646" w14:textId="69938836" w:rsidR="00A2733C" w:rsidRPr="00CD71E6" w:rsidRDefault="00A2733C" w:rsidP="002A53C8">
            <w:pPr>
              <w:spacing w:after="120" w:line="240" w:lineRule="auto"/>
              <w:rPr>
                <w:sz w:val="20"/>
                <w:lang w:val="fr-CA"/>
              </w:rPr>
            </w:pPr>
            <w:r w:rsidRPr="00CD71E6">
              <w:rPr>
                <w:sz w:val="20"/>
                <w:lang w:val="fr-CA"/>
              </w:rPr>
              <w:t>Vice-président</w:t>
            </w:r>
          </w:p>
        </w:tc>
        <w:tc>
          <w:tcPr>
            <w:tcW w:w="1098" w:type="dxa"/>
          </w:tcPr>
          <w:p w14:paraId="27B84DDA" w14:textId="5668DDEF" w:rsidR="00A2733C" w:rsidRPr="00CD71E6" w:rsidRDefault="00A2733C" w:rsidP="002A53C8">
            <w:pPr>
              <w:spacing w:after="120" w:line="240" w:lineRule="auto"/>
              <w:rPr>
                <w:sz w:val="20"/>
                <w:lang w:val="fr-CA"/>
              </w:rPr>
            </w:pPr>
            <w:r w:rsidRPr="00CD71E6">
              <w:rPr>
                <w:sz w:val="20"/>
                <w:lang w:val="fr-CA"/>
              </w:rPr>
              <w:t>2019-2020 T4</w:t>
            </w:r>
          </w:p>
        </w:tc>
      </w:tr>
      <w:tr w:rsidR="00A2733C" w:rsidRPr="00CD71E6" w14:paraId="190BAC68" w14:textId="77777777" w:rsidTr="008D5107">
        <w:tc>
          <w:tcPr>
            <w:tcW w:w="2119" w:type="dxa"/>
          </w:tcPr>
          <w:p w14:paraId="0BB1F94A" w14:textId="70504FCB" w:rsidR="00A2733C" w:rsidRPr="00CD71E6" w:rsidRDefault="00A2733C" w:rsidP="002A53C8">
            <w:pPr>
              <w:spacing w:after="120" w:line="240" w:lineRule="auto"/>
              <w:rPr>
                <w:sz w:val="20"/>
                <w:lang w:val="fr-CA"/>
              </w:rPr>
            </w:pPr>
            <w:r w:rsidRPr="00CD71E6">
              <w:rPr>
                <w:sz w:val="20"/>
                <w:lang w:val="fr-CA"/>
              </w:rPr>
              <w:t>19. Accroître le nombre d’enseignants inuits au Collège.</w:t>
            </w:r>
          </w:p>
        </w:tc>
        <w:tc>
          <w:tcPr>
            <w:tcW w:w="2120" w:type="dxa"/>
          </w:tcPr>
          <w:p w14:paraId="45B5535D" w14:textId="42AD8091" w:rsidR="00A2733C" w:rsidRPr="00CD71E6" w:rsidRDefault="00A2733C" w:rsidP="002A53C8">
            <w:pPr>
              <w:spacing w:after="120" w:line="240" w:lineRule="auto"/>
              <w:rPr>
                <w:sz w:val="20"/>
                <w:lang w:val="fr-CA"/>
              </w:rPr>
            </w:pPr>
            <w:r w:rsidRPr="00CD71E6">
              <w:rPr>
                <w:sz w:val="20"/>
                <w:lang w:val="fr-CA"/>
              </w:rPr>
              <w:t>Accroître le nombre d’employés inuits dans les postes d’enseignants spécialisés de la catégorie des professionnels au Collège.</w:t>
            </w:r>
          </w:p>
        </w:tc>
        <w:tc>
          <w:tcPr>
            <w:tcW w:w="2119" w:type="dxa"/>
          </w:tcPr>
          <w:p w14:paraId="584BFB90" w14:textId="152A23A7" w:rsidR="00A2733C" w:rsidRPr="00CD71E6" w:rsidRDefault="00A2733C" w:rsidP="002A53C8">
            <w:pPr>
              <w:spacing w:after="120" w:line="240" w:lineRule="auto"/>
              <w:rPr>
                <w:sz w:val="20"/>
                <w:lang w:val="fr-CA"/>
              </w:rPr>
            </w:pPr>
            <w:r w:rsidRPr="00CD71E6">
              <w:rPr>
                <w:sz w:val="20"/>
                <w:lang w:val="fr-CA"/>
              </w:rPr>
              <w:t>Examiner la possibilité de développer les capacités pédagogiques des candidats inuits, soit à l’interne, soit par l’entremise d’un partenaire universitaire potentiel.</w:t>
            </w:r>
          </w:p>
        </w:tc>
        <w:tc>
          <w:tcPr>
            <w:tcW w:w="2120" w:type="dxa"/>
          </w:tcPr>
          <w:p w14:paraId="0CA68381" w14:textId="77777777" w:rsidR="00A2733C" w:rsidRPr="00CD71E6" w:rsidRDefault="00A2733C" w:rsidP="002A53C8">
            <w:pPr>
              <w:spacing w:after="120" w:line="240" w:lineRule="auto"/>
              <w:rPr>
                <w:sz w:val="20"/>
                <w:lang w:val="fr-CA"/>
              </w:rPr>
            </w:pPr>
            <w:r w:rsidRPr="00CD71E6">
              <w:rPr>
                <w:sz w:val="20"/>
                <w:lang w:val="fr-CA"/>
              </w:rPr>
              <w:t>Vice-président</w:t>
            </w:r>
          </w:p>
          <w:p w14:paraId="6B0FAA6D" w14:textId="77777777" w:rsidR="00A2733C" w:rsidRPr="00CD71E6" w:rsidRDefault="00A2733C" w:rsidP="002A53C8">
            <w:pPr>
              <w:spacing w:after="120" w:line="240" w:lineRule="auto"/>
              <w:rPr>
                <w:sz w:val="20"/>
                <w:lang w:val="fr-CA"/>
              </w:rPr>
            </w:pPr>
            <w:r w:rsidRPr="00CD71E6">
              <w:rPr>
                <w:sz w:val="20"/>
                <w:lang w:val="fr-CA"/>
              </w:rPr>
              <w:t>Doyens</w:t>
            </w:r>
          </w:p>
          <w:p w14:paraId="530A0B23" w14:textId="77777777" w:rsidR="00A2733C" w:rsidRPr="00CD71E6" w:rsidRDefault="00A2733C" w:rsidP="002A53C8">
            <w:pPr>
              <w:spacing w:after="120" w:line="240" w:lineRule="auto"/>
              <w:rPr>
                <w:sz w:val="20"/>
                <w:lang w:val="fr-CA"/>
              </w:rPr>
            </w:pPr>
            <w:r w:rsidRPr="00CD71E6">
              <w:rPr>
                <w:sz w:val="20"/>
                <w:lang w:val="fr-CA"/>
              </w:rPr>
              <w:t>Gestionnaire des ressources humaines</w:t>
            </w:r>
          </w:p>
          <w:p w14:paraId="75FEA8EA" w14:textId="435A1B27" w:rsidR="00A2733C" w:rsidRPr="00CD71E6" w:rsidRDefault="00A2733C" w:rsidP="002A53C8">
            <w:pPr>
              <w:spacing w:after="120" w:line="240" w:lineRule="auto"/>
              <w:rPr>
                <w:sz w:val="20"/>
                <w:lang w:val="fr-CA"/>
              </w:rPr>
            </w:pPr>
            <w:r w:rsidRPr="00CD71E6">
              <w:rPr>
                <w:sz w:val="20"/>
                <w:lang w:val="fr-CA"/>
              </w:rPr>
              <w:t>Directeur des politiques et de la planification stratégique</w:t>
            </w:r>
          </w:p>
        </w:tc>
        <w:tc>
          <w:tcPr>
            <w:tcW w:w="1098" w:type="dxa"/>
          </w:tcPr>
          <w:p w14:paraId="45A2FE89" w14:textId="72D06E0C" w:rsidR="00A2733C" w:rsidRPr="00CD71E6" w:rsidRDefault="00A2733C" w:rsidP="002A53C8">
            <w:pPr>
              <w:spacing w:after="120" w:line="240" w:lineRule="auto"/>
              <w:rPr>
                <w:sz w:val="20"/>
                <w:lang w:val="fr-CA"/>
              </w:rPr>
            </w:pPr>
            <w:r w:rsidRPr="00CD71E6">
              <w:rPr>
                <w:sz w:val="20"/>
                <w:lang w:val="fr-CA"/>
              </w:rPr>
              <w:t>2020-2021 T4</w:t>
            </w:r>
          </w:p>
        </w:tc>
      </w:tr>
    </w:tbl>
    <w:p w14:paraId="1BE2ACEF" w14:textId="25D0E7C8" w:rsidR="00684D6E" w:rsidRDefault="00684D6E" w:rsidP="008D5107">
      <w:pPr>
        <w:spacing w:before="60" w:after="60" w:line="240" w:lineRule="auto"/>
        <w:rPr>
          <w:rFonts w:cs="Arial"/>
          <w:lang w:val="fr-CA"/>
        </w:rPr>
      </w:pPr>
    </w:p>
    <w:p w14:paraId="5A58B57A" w14:textId="77777777" w:rsidR="00684D6E" w:rsidRDefault="00684D6E">
      <w:pPr>
        <w:spacing w:after="200" w:line="276" w:lineRule="auto"/>
        <w:rPr>
          <w:rFonts w:cs="Arial"/>
          <w:lang w:val="fr-CA"/>
        </w:rPr>
      </w:pPr>
      <w:r>
        <w:rPr>
          <w:rFonts w:cs="Arial"/>
          <w:lang w:val="fr-CA"/>
        </w:rPr>
        <w:br w:type="page"/>
      </w:r>
    </w:p>
    <w:p w14:paraId="7F182B37" w14:textId="77777777" w:rsidR="008D5107" w:rsidRPr="00CD71E6" w:rsidRDefault="008D5107" w:rsidP="008D5107">
      <w:pPr>
        <w:pStyle w:val="Heading3"/>
        <w:rPr>
          <w:rFonts w:cs="Arial"/>
          <w:lang w:val="fr-CA"/>
        </w:rPr>
      </w:pPr>
      <w:bookmarkStart w:id="101" w:name="_Toc41053742"/>
      <w:r w:rsidRPr="00CD71E6">
        <w:rPr>
          <w:bCs/>
          <w:lang w:val="fr-CA"/>
        </w:rPr>
        <w:lastRenderedPageBreak/>
        <w:t>Mesures de communications et de rapprochement avec le public</w:t>
      </w:r>
      <w:bookmarkEnd w:id="101"/>
    </w:p>
    <w:tbl>
      <w:tblPr>
        <w:tblStyle w:val="TableGrid1"/>
        <w:tblW w:w="0" w:type="auto"/>
        <w:tblLook w:val="04A0" w:firstRow="1" w:lastRow="0" w:firstColumn="1" w:lastColumn="0" w:noHBand="0" w:noVBand="1"/>
      </w:tblPr>
      <w:tblGrid>
        <w:gridCol w:w="2078"/>
        <w:gridCol w:w="2072"/>
        <w:gridCol w:w="2077"/>
        <w:gridCol w:w="2083"/>
        <w:gridCol w:w="1266"/>
      </w:tblGrid>
      <w:tr w:rsidR="008D5107" w:rsidRPr="00CD71E6" w14:paraId="00DA0334" w14:textId="77777777" w:rsidTr="008D5107">
        <w:trPr>
          <w:trHeight w:val="346"/>
          <w:tblHeader/>
        </w:trPr>
        <w:tc>
          <w:tcPr>
            <w:tcW w:w="2119" w:type="dxa"/>
            <w:shd w:val="clear" w:color="auto" w:fill="000000" w:themeFill="text1"/>
            <w:vAlign w:val="center"/>
          </w:tcPr>
          <w:p w14:paraId="2CAE7C5A"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OBJECTIF</w:t>
            </w:r>
          </w:p>
        </w:tc>
        <w:tc>
          <w:tcPr>
            <w:tcW w:w="2120" w:type="dxa"/>
            <w:shd w:val="clear" w:color="auto" w:fill="000000" w:themeFill="text1"/>
            <w:vAlign w:val="center"/>
          </w:tcPr>
          <w:p w14:paraId="3CE55100"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RÉSULTATS ESCOMPTÉS</w:t>
            </w:r>
          </w:p>
        </w:tc>
        <w:tc>
          <w:tcPr>
            <w:tcW w:w="2119" w:type="dxa"/>
            <w:shd w:val="clear" w:color="auto" w:fill="000000" w:themeFill="text1"/>
            <w:vAlign w:val="center"/>
          </w:tcPr>
          <w:p w14:paraId="446151B4"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ACTIONS</w:t>
            </w:r>
          </w:p>
        </w:tc>
        <w:tc>
          <w:tcPr>
            <w:tcW w:w="2120" w:type="dxa"/>
            <w:shd w:val="clear" w:color="auto" w:fill="000000" w:themeFill="text1"/>
            <w:vAlign w:val="center"/>
          </w:tcPr>
          <w:p w14:paraId="64884506"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RESPONSABILITÉ</w:t>
            </w:r>
          </w:p>
        </w:tc>
        <w:tc>
          <w:tcPr>
            <w:tcW w:w="1098" w:type="dxa"/>
            <w:shd w:val="clear" w:color="auto" w:fill="000000" w:themeFill="text1"/>
            <w:vAlign w:val="center"/>
          </w:tcPr>
          <w:p w14:paraId="5ACCE0D4" w14:textId="77777777" w:rsidR="008D5107" w:rsidRPr="00CD71E6" w:rsidRDefault="008D5107" w:rsidP="008D5107">
            <w:pPr>
              <w:keepNext/>
              <w:spacing w:after="0" w:line="240" w:lineRule="auto"/>
              <w:jc w:val="center"/>
              <w:rPr>
                <w:rFonts w:eastAsia="Tw Cen MT" w:cs="Times New Roman"/>
                <w:b/>
                <w:color w:val="FFFFFF" w:themeColor="background1"/>
                <w:sz w:val="20"/>
                <w:szCs w:val="20"/>
                <w:lang w:val="fr-CA"/>
              </w:rPr>
            </w:pPr>
            <w:r w:rsidRPr="00CD71E6">
              <w:rPr>
                <w:rFonts w:eastAsia="Tw Cen MT" w:cs="Times New Roman"/>
                <w:b/>
                <w:bCs/>
                <w:color w:val="FFFFFF" w:themeColor="background1"/>
                <w:sz w:val="20"/>
                <w:szCs w:val="20"/>
                <w:lang w:val="fr-CA"/>
              </w:rPr>
              <w:t>ÉCHÉANCIER</w:t>
            </w:r>
          </w:p>
        </w:tc>
      </w:tr>
      <w:tr w:rsidR="00EF0877" w:rsidRPr="00CD71E6" w14:paraId="2745539E" w14:textId="77777777" w:rsidTr="008D5107">
        <w:tc>
          <w:tcPr>
            <w:tcW w:w="2119" w:type="dxa"/>
          </w:tcPr>
          <w:p w14:paraId="46B9A1BB" w14:textId="5B9FA376" w:rsidR="00EF0877" w:rsidRPr="00CD71E6" w:rsidRDefault="0084593E" w:rsidP="002A53C8">
            <w:pPr>
              <w:spacing w:after="120" w:line="240" w:lineRule="auto"/>
              <w:rPr>
                <w:rFonts w:eastAsia="Tw Cen MT" w:cs="Times New Roman"/>
                <w:szCs w:val="20"/>
                <w:lang w:val="fr-CA"/>
              </w:rPr>
            </w:pPr>
            <w:r w:rsidRPr="00CD71E6">
              <w:rPr>
                <w:sz w:val="20"/>
                <w:lang w:val="fr-CA"/>
              </w:rPr>
              <w:t>20. Promouvoir l’admission des jeunes dans les programmes postsecondaires qui soutiennent les besoins actuels du marché du travail.</w:t>
            </w:r>
          </w:p>
        </w:tc>
        <w:tc>
          <w:tcPr>
            <w:tcW w:w="2120" w:type="dxa"/>
          </w:tcPr>
          <w:p w14:paraId="5A7E537B" w14:textId="6F9A0E4D" w:rsidR="00EF0877" w:rsidRPr="00CD71E6" w:rsidRDefault="00EF0877" w:rsidP="002A53C8">
            <w:pPr>
              <w:spacing w:after="120" w:line="240" w:lineRule="auto"/>
              <w:rPr>
                <w:rFonts w:eastAsia="Tw Cen MT" w:cs="Times New Roman"/>
                <w:szCs w:val="20"/>
                <w:lang w:val="fr-CA"/>
              </w:rPr>
            </w:pPr>
            <w:r w:rsidRPr="00CD71E6">
              <w:rPr>
                <w:sz w:val="20"/>
                <w:lang w:val="fr-CA"/>
              </w:rPr>
              <w:t>Hausser le nombre de jeunes inuits admis au niveau postsecondaire au Collège.</w:t>
            </w:r>
          </w:p>
        </w:tc>
        <w:tc>
          <w:tcPr>
            <w:tcW w:w="2119" w:type="dxa"/>
          </w:tcPr>
          <w:p w14:paraId="3B55851A" w14:textId="0423A62C" w:rsidR="00EF0877" w:rsidRPr="00CD71E6" w:rsidRDefault="00EF0877" w:rsidP="002A53C8">
            <w:pPr>
              <w:spacing w:after="120" w:line="240" w:lineRule="auto"/>
              <w:rPr>
                <w:rFonts w:eastAsia="Tw Cen MT" w:cs="Times New Roman"/>
                <w:szCs w:val="20"/>
                <w:lang w:val="fr-CA"/>
              </w:rPr>
            </w:pPr>
            <w:r w:rsidRPr="00CD71E6">
              <w:rPr>
                <w:sz w:val="20"/>
                <w:lang w:val="fr-CA"/>
              </w:rPr>
              <w:t>Inclure dans le plan de communication un élément pour le recrutement des jeunes dans les programmes postsecondaires déterminés.</w:t>
            </w:r>
          </w:p>
        </w:tc>
        <w:tc>
          <w:tcPr>
            <w:tcW w:w="2120" w:type="dxa"/>
          </w:tcPr>
          <w:p w14:paraId="66AAA5BF" w14:textId="77777777" w:rsidR="00EF0877" w:rsidRPr="00CD71E6" w:rsidRDefault="00EF0877" w:rsidP="002A53C8">
            <w:pPr>
              <w:spacing w:after="120" w:line="240" w:lineRule="auto"/>
              <w:rPr>
                <w:sz w:val="20"/>
                <w:lang w:val="fr-CA"/>
              </w:rPr>
            </w:pPr>
            <w:r w:rsidRPr="00CD71E6">
              <w:rPr>
                <w:sz w:val="20"/>
                <w:lang w:val="fr-CA"/>
              </w:rPr>
              <w:t>Directeur des politiques et de la planification stratégique</w:t>
            </w:r>
          </w:p>
          <w:p w14:paraId="5AE0141B" w14:textId="3BA58055" w:rsidR="00EF0877" w:rsidRPr="00CD71E6" w:rsidRDefault="00EF0877" w:rsidP="002A53C8">
            <w:pPr>
              <w:spacing w:after="120" w:line="240" w:lineRule="auto"/>
              <w:rPr>
                <w:rFonts w:eastAsia="Tw Cen MT" w:cs="Times New Roman"/>
                <w:szCs w:val="20"/>
                <w:lang w:val="fr-CA"/>
              </w:rPr>
            </w:pPr>
            <w:r w:rsidRPr="00CD71E6">
              <w:rPr>
                <w:sz w:val="20"/>
                <w:lang w:val="fr-CA"/>
              </w:rPr>
              <w:t>Agent des affaires publiques</w:t>
            </w:r>
          </w:p>
        </w:tc>
        <w:tc>
          <w:tcPr>
            <w:tcW w:w="1098" w:type="dxa"/>
          </w:tcPr>
          <w:p w14:paraId="61702B98" w14:textId="5738FE97" w:rsidR="00EF0877" w:rsidRPr="00CD71E6" w:rsidRDefault="00EF0877" w:rsidP="002A53C8">
            <w:pPr>
              <w:spacing w:after="120" w:line="240" w:lineRule="auto"/>
              <w:rPr>
                <w:rFonts w:eastAsia="Tw Cen MT" w:cs="Times New Roman"/>
                <w:szCs w:val="20"/>
                <w:lang w:val="fr-CA"/>
              </w:rPr>
            </w:pPr>
            <w:r w:rsidRPr="00CD71E6">
              <w:rPr>
                <w:sz w:val="20"/>
                <w:lang w:val="fr-CA"/>
              </w:rPr>
              <w:t>2018-2019 T2</w:t>
            </w:r>
          </w:p>
        </w:tc>
      </w:tr>
      <w:tr w:rsidR="00EF0877" w:rsidRPr="00CD71E6" w14:paraId="7D956205" w14:textId="77777777" w:rsidTr="008D5107">
        <w:tc>
          <w:tcPr>
            <w:tcW w:w="2119" w:type="dxa"/>
          </w:tcPr>
          <w:p w14:paraId="29A58F5E" w14:textId="69F18853" w:rsidR="00EF0877" w:rsidRPr="00CD71E6" w:rsidRDefault="0084593E" w:rsidP="002A53C8">
            <w:pPr>
              <w:spacing w:after="120" w:line="240" w:lineRule="auto"/>
              <w:rPr>
                <w:rFonts w:eastAsia="Tw Cen MT" w:cs="Times New Roman"/>
                <w:szCs w:val="20"/>
                <w:lang w:val="fr-CA"/>
              </w:rPr>
            </w:pPr>
            <w:r w:rsidRPr="00CD71E6">
              <w:rPr>
                <w:sz w:val="20"/>
                <w:lang w:val="fr-CA"/>
              </w:rPr>
              <w:t>21. Promouvoir le Collège comme employé de choix parmi les anciens étudiants du Collège.</w:t>
            </w:r>
          </w:p>
        </w:tc>
        <w:tc>
          <w:tcPr>
            <w:tcW w:w="2120" w:type="dxa"/>
          </w:tcPr>
          <w:p w14:paraId="4F79E11D" w14:textId="4E240A8C" w:rsidR="00EF0877" w:rsidRPr="00CD71E6" w:rsidRDefault="00EF0877" w:rsidP="002A53C8">
            <w:pPr>
              <w:spacing w:after="120" w:line="240" w:lineRule="auto"/>
              <w:rPr>
                <w:rFonts w:eastAsia="Tw Cen MT" w:cs="Times New Roman"/>
                <w:szCs w:val="20"/>
                <w:lang w:val="fr-CA"/>
              </w:rPr>
            </w:pPr>
            <w:r w:rsidRPr="00CD71E6">
              <w:rPr>
                <w:sz w:val="20"/>
                <w:lang w:val="fr-CA"/>
              </w:rPr>
              <w:t>Rehausser la réputation du Collège parmi les anciens étudiants.</w:t>
            </w:r>
          </w:p>
        </w:tc>
        <w:tc>
          <w:tcPr>
            <w:tcW w:w="2119" w:type="dxa"/>
          </w:tcPr>
          <w:p w14:paraId="11BDF8D1" w14:textId="57B58BE7" w:rsidR="00EF0877" w:rsidRPr="00CD71E6" w:rsidRDefault="00EF0877" w:rsidP="002A53C8">
            <w:pPr>
              <w:spacing w:after="120" w:line="240" w:lineRule="auto"/>
              <w:rPr>
                <w:rFonts w:eastAsia="Tw Cen MT" w:cs="Times New Roman"/>
                <w:szCs w:val="20"/>
                <w:lang w:val="fr-CA"/>
              </w:rPr>
            </w:pPr>
            <w:r w:rsidRPr="00CD71E6">
              <w:rPr>
                <w:sz w:val="20"/>
                <w:lang w:val="fr-CA"/>
              </w:rPr>
              <w:t>Inclure dans le plan de communication un élément qui atteint les anciens étudiants du Collège.</w:t>
            </w:r>
          </w:p>
        </w:tc>
        <w:tc>
          <w:tcPr>
            <w:tcW w:w="2120" w:type="dxa"/>
          </w:tcPr>
          <w:p w14:paraId="6AC4FE19" w14:textId="77777777" w:rsidR="00EF0877" w:rsidRPr="00CD71E6" w:rsidRDefault="00EF0877" w:rsidP="002A53C8">
            <w:pPr>
              <w:spacing w:after="120" w:line="240" w:lineRule="auto"/>
              <w:rPr>
                <w:sz w:val="20"/>
                <w:lang w:val="fr-CA"/>
              </w:rPr>
            </w:pPr>
            <w:r w:rsidRPr="00CD71E6">
              <w:rPr>
                <w:sz w:val="20"/>
                <w:lang w:val="fr-CA"/>
              </w:rPr>
              <w:t>Directeur des politiques et de la planification stratégique</w:t>
            </w:r>
          </w:p>
          <w:p w14:paraId="2254F57A" w14:textId="77777777" w:rsidR="00EF0877" w:rsidRPr="00CD71E6" w:rsidRDefault="00EF0877" w:rsidP="002A53C8">
            <w:pPr>
              <w:spacing w:after="120" w:line="240" w:lineRule="auto"/>
              <w:rPr>
                <w:sz w:val="20"/>
                <w:lang w:val="fr-CA"/>
              </w:rPr>
            </w:pPr>
            <w:r w:rsidRPr="00CD71E6">
              <w:rPr>
                <w:sz w:val="20"/>
                <w:lang w:val="fr-CA"/>
              </w:rPr>
              <w:t>Agent des affaires publiques</w:t>
            </w:r>
          </w:p>
          <w:p w14:paraId="3FFF3741" w14:textId="305A0E7B" w:rsidR="00EF0877" w:rsidRPr="00CD71E6" w:rsidRDefault="00EF0877" w:rsidP="002A53C8">
            <w:pPr>
              <w:spacing w:after="120" w:line="240" w:lineRule="auto"/>
              <w:rPr>
                <w:rFonts w:eastAsia="Tw Cen MT" w:cs="Times New Roman"/>
                <w:szCs w:val="20"/>
                <w:lang w:val="fr-CA"/>
              </w:rPr>
            </w:pPr>
            <w:r w:rsidRPr="00CD71E6">
              <w:rPr>
                <w:sz w:val="20"/>
                <w:lang w:val="fr-CA"/>
              </w:rPr>
              <w:t>Gestionnaire des ressources humaines</w:t>
            </w:r>
          </w:p>
        </w:tc>
        <w:tc>
          <w:tcPr>
            <w:tcW w:w="1098" w:type="dxa"/>
          </w:tcPr>
          <w:p w14:paraId="3CF77D79" w14:textId="09EA5144" w:rsidR="00EF0877" w:rsidRPr="00CD71E6" w:rsidRDefault="00EF0877" w:rsidP="002A53C8">
            <w:pPr>
              <w:spacing w:after="120" w:line="240" w:lineRule="auto"/>
              <w:rPr>
                <w:rFonts w:eastAsia="Tw Cen MT" w:cs="Times New Roman"/>
                <w:szCs w:val="20"/>
                <w:lang w:val="fr-CA"/>
              </w:rPr>
            </w:pPr>
            <w:r w:rsidRPr="00CD71E6">
              <w:rPr>
                <w:sz w:val="20"/>
                <w:lang w:val="fr-CA"/>
              </w:rPr>
              <w:t>2018-2019 T2</w:t>
            </w:r>
          </w:p>
        </w:tc>
      </w:tr>
    </w:tbl>
    <w:p w14:paraId="4893AF5E" w14:textId="77777777" w:rsidR="00E742A6" w:rsidRPr="00CD71E6" w:rsidRDefault="00E742A6" w:rsidP="002A53C8">
      <w:pPr>
        <w:rPr>
          <w:lang w:val="fr-CA"/>
        </w:rPr>
      </w:pPr>
    </w:p>
    <w:p w14:paraId="1C6A699C" w14:textId="77777777" w:rsidR="008D5107" w:rsidRPr="00CD71E6" w:rsidRDefault="008D5107" w:rsidP="008D5107">
      <w:pPr>
        <w:pStyle w:val="Heading2"/>
        <w:rPr>
          <w:lang w:val="fr-CA"/>
        </w:rPr>
      </w:pPr>
      <w:bookmarkStart w:id="102" w:name="_Toc13063988"/>
      <w:bookmarkStart w:id="103" w:name="_Toc41053743"/>
      <w:bookmarkEnd w:id="97"/>
      <w:r w:rsidRPr="00CD71E6">
        <w:rPr>
          <w:bCs/>
          <w:lang w:val="fr-CA"/>
        </w:rPr>
        <w:t>Suivi et compte rendu des progrès</w:t>
      </w:r>
      <w:bookmarkEnd w:id="102"/>
      <w:bookmarkEnd w:id="103"/>
    </w:p>
    <w:p w14:paraId="3962565F" w14:textId="77777777" w:rsidR="008D5107" w:rsidRPr="00CD71E6" w:rsidRDefault="008D5107" w:rsidP="008D5107">
      <w:pPr>
        <w:rPr>
          <w:lang w:val="fr-CA"/>
        </w:rPr>
      </w:pPr>
      <w:r w:rsidRPr="00CD71E6">
        <w:rPr>
          <w:lang w:val="fr-CA"/>
        </w:rPr>
        <w:t>Deux fois par année, les ministères et les sociétés du territoire doivent rendre compte au bureau central de l’embauchage et de la formation des Inuits du GN de leurs résultats concernant :</w:t>
      </w:r>
    </w:p>
    <w:p w14:paraId="0C98460B" w14:textId="77777777" w:rsidR="008D5107" w:rsidRPr="00CD71E6" w:rsidRDefault="008D5107" w:rsidP="0094062C">
      <w:pPr>
        <w:pStyle w:val="ListParagraph"/>
        <w:numPr>
          <w:ilvl w:val="0"/>
          <w:numId w:val="33"/>
        </w:numPr>
        <w:rPr>
          <w:lang w:val="fr-CA"/>
        </w:rPr>
      </w:pPr>
      <w:r w:rsidRPr="00CD71E6">
        <w:rPr>
          <w:lang w:val="fr-CA"/>
        </w:rPr>
        <w:t xml:space="preserve">les changements survenus dans la représentation inuite par catégories d’emplois; </w:t>
      </w:r>
    </w:p>
    <w:p w14:paraId="48C3CB11" w14:textId="77777777" w:rsidR="008D5107" w:rsidRPr="00CD71E6" w:rsidRDefault="008D5107" w:rsidP="0094062C">
      <w:pPr>
        <w:pStyle w:val="ListParagraph"/>
        <w:numPr>
          <w:ilvl w:val="0"/>
          <w:numId w:val="33"/>
        </w:numPr>
        <w:rPr>
          <w:lang w:val="fr-CA"/>
        </w:rPr>
      </w:pPr>
      <w:r w:rsidRPr="00CD71E6">
        <w:rPr>
          <w:lang w:val="fr-CA"/>
        </w:rPr>
        <w:t xml:space="preserve">les progrès réalisés en matière de mise en œuvre des mesures planifiées pour augmenter l’embauchage des Inuits. </w:t>
      </w:r>
    </w:p>
    <w:p w14:paraId="1A52386D" w14:textId="77777777" w:rsidR="008D5107" w:rsidRPr="00CD71E6" w:rsidRDefault="008D5107" w:rsidP="008D5107">
      <w:pPr>
        <w:rPr>
          <w:lang w:val="fr-CA"/>
        </w:rPr>
      </w:pPr>
      <w:r w:rsidRPr="00CD71E6">
        <w:rPr>
          <w:lang w:val="fr-CA"/>
        </w:rPr>
        <w:t>Ces documents internes permettent de suivre les progrès en matière d’objectifs, de cibles et de mesures planifiées.</w:t>
      </w:r>
    </w:p>
    <w:p w14:paraId="09EA792D" w14:textId="6369EAE3" w:rsidR="00755060" w:rsidRPr="00CD71E6" w:rsidRDefault="008D5107" w:rsidP="00684D6E">
      <w:pPr>
        <w:rPr>
          <w:lang w:val="fr-CA"/>
        </w:rPr>
      </w:pPr>
      <w:r w:rsidRPr="00CD71E6">
        <w:rPr>
          <w:lang w:val="fr-CA"/>
        </w:rPr>
        <w:t>Chaque rapport d’étape porte sur les deux trimestres précédents. Le rapport d’étape du premier trimestre porte sur les troisième et qu</w:t>
      </w:r>
      <w:r w:rsidR="00684D6E">
        <w:rPr>
          <w:lang w:val="fr-CA"/>
        </w:rPr>
        <w:t>atrième trimestres (soit du 1</w:t>
      </w:r>
      <w:r w:rsidRPr="00684D6E">
        <w:rPr>
          <w:vertAlign w:val="superscript"/>
          <w:lang w:val="fr-CA"/>
        </w:rPr>
        <w:t>er</w:t>
      </w:r>
      <w:r w:rsidRPr="00CD71E6">
        <w:rPr>
          <w:lang w:val="fr-CA"/>
        </w:rPr>
        <w:t xml:space="preserve"> octobre au 31 mars) de l’exercice financier précédent. Le rapport d’étape du troisième trimestre porte sur les premier et d</w:t>
      </w:r>
      <w:r w:rsidR="00684D6E">
        <w:rPr>
          <w:lang w:val="fr-CA"/>
        </w:rPr>
        <w:t>euxième trimestres (soit du 1</w:t>
      </w:r>
      <w:r w:rsidR="00684D6E" w:rsidRPr="00684D6E">
        <w:rPr>
          <w:vertAlign w:val="superscript"/>
          <w:lang w:val="fr-CA"/>
        </w:rPr>
        <w:t>er</w:t>
      </w:r>
      <w:r w:rsidRPr="00CD71E6">
        <w:rPr>
          <w:lang w:val="fr-CA"/>
        </w:rPr>
        <w:t xml:space="preserve"> avril au 30 septembre) de</w:t>
      </w:r>
      <w:r w:rsidR="00684D6E">
        <w:rPr>
          <w:lang w:val="fr-CA"/>
        </w:rPr>
        <w:t xml:space="preserve"> l’exercice financier en cours.</w:t>
      </w:r>
    </w:p>
    <w:sectPr w:rsidR="00755060" w:rsidRPr="00CD71E6" w:rsidSect="00E00B0F">
      <w:headerReference w:type="even" r:id="rId18"/>
      <w:headerReference w:type="default" r:id="rId19"/>
      <w:footerReference w:type="even" r:id="rId20"/>
      <w:footerReference w:type="default" r:id="rId21"/>
      <w:headerReference w:type="first" r:id="rId22"/>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C165" w14:textId="77777777" w:rsidR="00761629" w:rsidRDefault="00761629">
      <w:pPr>
        <w:spacing w:after="0" w:line="240" w:lineRule="auto"/>
      </w:pPr>
      <w:r>
        <w:separator/>
      </w:r>
    </w:p>
  </w:endnote>
  <w:endnote w:type="continuationSeparator" w:id="0">
    <w:p w14:paraId="734805CE" w14:textId="77777777" w:rsidR="00761629" w:rsidRDefault="0076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A2833" w14:textId="77777777" w:rsidR="00761629" w:rsidRDefault="00761629"/>
  <w:p w14:paraId="69850278" w14:textId="77777777" w:rsidR="00761629" w:rsidRDefault="00761629">
    <w:pPr>
      <w:pStyle w:val="FooterEven"/>
    </w:pPr>
    <w:r>
      <w:rPr>
        <w:lang w:val="fr-CA"/>
      </w:rPr>
      <w:t xml:space="preserve">Page </w:t>
    </w:r>
    <w:r>
      <w:rPr>
        <w:lang w:val="fr-CA"/>
      </w:rPr>
      <w:fldChar w:fldCharType="begin"/>
    </w:r>
    <w:r>
      <w:rPr>
        <w:lang w:val="fr-CA"/>
      </w:rPr>
      <w:instrText xml:space="preserve"> PAGE   \* MERGEFORMAT </w:instrText>
    </w:r>
    <w:r>
      <w:rPr>
        <w:lang w:val="fr-CA"/>
      </w:rPr>
      <w:fldChar w:fldCharType="separate"/>
    </w:r>
    <w:r>
      <w:rPr>
        <w:noProof/>
        <w:sz w:val="24"/>
        <w:szCs w:val="24"/>
        <w:lang w:val="fr-CA"/>
      </w:rPr>
      <w:t>2</w:t>
    </w:r>
    <w:r>
      <w:rPr>
        <w:noProof/>
        <w:sz w:val="24"/>
        <w:szCs w:val="24"/>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705E" w14:textId="77777777" w:rsidR="00761629" w:rsidRDefault="00761629"/>
  <w:p w14:paraId="4EB980E4" w14:textId="24B75D54" w:rsidR="00761629" w:rsidRDefault="00761629">
    <w:pPr>
      <w:pStyle w:val="FooterOdd"/>
    </w:pPr>
    <w:r>
      <w:rPr>
        <w:lang w:val="fr-CA"/>
      </w:rPr>
      <w:t xml:space="preserve">Page </w:t>
    </w:r>
    <w:r>
      <w:rPr>
        <w:lang w:val="fr-CA"/>
      </w:rPr>
      <w:fldChar w:fldCharType="begin"/>
    </w:r>
    <w:r>
      <w:rPr>
        <w:lang w:val="fr-CA"/>
      </w:rPr>
      <w:instrText xml:space="preserve"> PAGE   \* MERGEFORMAT </w:instrText>
    </w:r>
    <w:r>
      <w:rPr>
        <w:lang w:val="fr-CA"/>
      </w:rPr>
      <w:fldChar w:fldCharType="separate"/>
    </w:r>
    <w:r w:rsidR="00B01B52" w:rsidRPr="00B01B52">
      <w:rPr>
        <w:noProof/>
        <w:sz w:val="24"/>
        <w:szCs w:val="24"/>
        <w:lang w:val="fr-CA"/>
      </w:rPr>
      <w:t>3</w:t>
    </w:r>
    <w:r>
      <w:rPr>
        <w:noProof/>
        <w:sz w:val="24"/>
        <w:szCs w:val="24"/>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84E8F" w14:textId="77777777" w:rsidR="00761629" w:rsidRDefault="00761629">
      <w:pPr>
        <w:spacing w:after="0" w:line="240" w:lineRule="auto"/>
      </w:pPr>
      <w:r>
        <w:separator/>
      </w:r>
    </w:p>
  </w:footnote>
  <w:footnote w:type="continuationSeparator" w:id="0">
    <w:p w14:paraId="50CB84D8" w14:textId="77777777" w:rsidR="00761629" w:rsidRDefault="00761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8583" w14:textId="77777777" w:rsidR="00761629" w:rsidRPr="00CD71E6" w:rsidRDefault="00761629">
    <w:pPr>
      <w:pStyle w:val="HeaderEven"/>
      <w:rPr>
        <w:lang w:val="fr-CA"/>
      </w:rPr>
    </w:pPr>
    <w:r>
      <w:rPr>
        <w:bCs/>
        <w:lang w:val="fr-CA"/>
      </w:rPr>
      <w:t>Plan directeur d’embauchage des Inuits du gouvernement du Nunavut à l’horizon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1AC7" w14:textId="649836DC" w:rsidR="00761629" w:rsidRPr="00CD71E6" w:rsidRDefault="00761629">
    <w:pPr>
      <w:pStyle w:val="HeaderOdd"/>
      <w:rPr>
        <w:lang w:val="fr-CA"/>
      </w:rPr>
    </w:pPr>
    <w:r>
      <w:rPr>
        <w:bCs/>
        <w:lang w:val="fr-CA"/>
      </w:rPr>
      <w:t>Plan d’embauchage des Inuits du Collège de l’Arctique du Nunavut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4AE5" w14:textId="77777777" w:rsidR="00761629" w:rsidRDefault="00761629">
    <w:pPr>
      <w:pStyle w:val="Header"/>
    </w:pPr>
    <w:r>
      <w:rPr>
        <w:noProof/>
        <w:lang w:val="fr-CA" w:eastAsia="fr-CA"/>
      </w:rPr>
      <w:drawing>
        <wp:inline distT="0" distB="0" distL="0" distR="0" wp14:anchorId="2DE2680E" wp14:editId="61BEB7DA">
          <wp:extent cx="2447290" cy="1562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1562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2B16E9D"/>
    <w:multiLevelType w:val="hybridMultilevel"/>
    <w:tmpl w:val="ADCCE6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2D55326"/>
    <w:multiLevelType w:val="hybridMultilevel"/>
    <w:tmpl w:val="9E6894EA"/>
    <w:lvl w:ilvl="0" w:tplc="6D7495A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20F2D"/>
    <w:multiLevelType w:val="hybridMultilevel"/>
    <w:tmpl w:val="E37ED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8B838B6"/>
    <w:multiLevelType w:val="hybridMultilevel"/>
    <w:tmpl w:val="AF12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C032C"/>
    <w:multiLevelType w:val="hybridMultilevel"/>
    <w:tmpl w:val="B09CE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655CA9"/>
    <w:multiLevelType w:val="hybridMultilevel"/>
    <w:tmpl w:val="2D1E3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0B22BE"/>
    <w:multiLevelType w:val="hybridMultilevel"/>
    <w:tmpl w:val="35882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35359C"/>
    <w:multiLevelType w:val="hybridMultilevel"/>
    <w:tmpl w:val="C186C9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9F175E0"/>
    <w:multiLevelType w:val="hybridMultilevel"/>
    <w:tmpl w:val="DF347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5E6D4B"/>
    <w:multiLevelType w:val="hybridMultilevel"/>
    <w:tmpl w:val="3D3A6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6F482E"/>
    <w:multiLevelType w:val="hybridMultilevel"/>
    <w:tmpl w:val="94BC5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AF393F"/>
    <w:multiLevelType w:val="hybridMultilevel"/>
    <w:tmpl w:val="AB7E7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037FB6"/>
    <w:multiLevelType w:val="hybridMultilevel"/>
    <w:tmpl w:val="A52E874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687D30"/>
    <w:multiLevelType w:val="hybridMultilevel"/>
    <w:tmpl w:val="B64C2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6A616D"/>
    <w:multiLevelType w:val="hybridMultilevel"/>
    <w:tmpl w:val="DDA6C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F24822"/>
    <w:multiLevelType w:val="hybridMultilevel"/>
    <w:tmpl w:val="A7608D34"/>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EE64CB"/>
    <w:multiLevelType w:val="hybridMultilevel"/>
    <w:tmpl w:val="0B9C9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C4211D"/>
    <w:multiLevelType w:val="hybridMultilevel"/>
    <w:tmpl w:val="FD487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9C70BF"/>
    <w:multiLevelType w:val="hybridMultilevel"/>
    <w:tmpl w:val="7F3815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C8346F3"/>
    <w:multiLevelType w:val="hybridMultilevel"/>
    <w:tmpl w:val="364C6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B4D0B"/>
    <w:multiLevelType w:val="hybridMultilevel"/>
    <w:tmpl w:val="A29A9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9B51F3"/>
    <w:multiLevelType w:val="hybridMultilevel"/>
    <w:tmpl w:val="53D2258A"/>
    <w:lvl w:ilvl="0" w:tplc="1F5438EE">
      <w:start w:val="1"/>
      <w:numFmt w:val="bullet"/>
      <w:lvlText w:val="-"/>
      <w:lvlJc w:val="left"/>
      <w:pPr>
        <w:ind w:left="1069" w:hanging="360"/>
      </w:pPr>
      <w:rPr>
        <w:rFonts w:ascii="Calibri" w:eastAsia="Calibri" w:hAnsi="Calibri"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6624357F"/>
    <w:multiLevelType w:val="hybridMultilevel"/>
    <w:tmpl w:val="25C6652C"/>
    <w:lvl w:ilvl="0" w:tplc="E0B0836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446431"/>
    <w:multiLevelType w:val="hybridMultilevel"/>
    <w:tmpl w:val="D6980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4C725E"/>
    <w:multiLevelType w:val="hybridMultilevel"/>
    <w:tmpl w:val="7F0E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D96586"/>
    <w:multiLevelType w:val="hybridMultilevel"/>
    <w:tmpl w:val="3740E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CC0B51"/>
    <w:multiLevelType w:val="hybridMultilevel"/>
    <w:tmpl w:val="7722F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2"/>
  </w:num>
  <w:num w:numId="5">
    <w:abstractNumId w:val="1"/>
  </w:num>
  <w:num w:numId="6">
    <w:abstractNumId w:val="0"/>
  </w:num>
  <w:num w:numId="7">
    <w:abstractNumId w:val="27"/>
  </w:num>
  <w:num w:numId="8">
    <w:abstractNumId w:val="11"/>
  </w:num>
  <w:num w:numId="9">
    <w:abstractNumId w:val="26"/>
  </w:num>
  <w:num w:numId="10">
    <w:abstractNumId w:val="21"/>
  </w:num>
  <w:num w:numId="11">
    <w:abstractNumId w:val="8"/>
  </w:num>
  <w:num w:numId="12">
    <w:abstractNumId w:val="30"/>
  </w:num>
  <w:num w:numId="13">
    <w:abstractNumId w:val="25"/>
  </w:num>
  <w:num w:numId="14">
    <w:abstractNumId w:val="7"/>
  </w:num>
  <w:num w:numId="15">
    <w:abstractNumId w:val="24"/>
  </w:num>
  <w:num w:numId="16">
    <w:abstractNumId w:val="20"/>
  </w:num>
  <w:num w:numId="17">
    <w:abstractNumId w:val="5"/>
  </w:num>
  <w:num w:numId="18">
    <w:abstractNumId w:val="9"/>
  </w:num>
  <w:num w:numId="19">
    <w:abstractNumId w:val="28"/>
  </w:num>
  <w:num w:numId="20">
    <w:abstractNumId w:val="18"/>
  </w:num>
  <w:num w:numId="21">
    <w:abstractNumId w:val="6"/>
  </w:num>
  <w:num w:numId="22">
    <w:abstractNumId w:val="19"/>
  </w:num>
  <w:num w:numId="23">
    <w:abstractNumId w:val="12"/>
  </w:num>
  <w:num w:numId="24">
    <w:abstractNumId w:val="10"/>
  </w:num>
  <w:num w:numId="25">
    <w:abstractNumId w:val="31"/>
  </w:num>
  <w:num w:numId="26">
    <w:abstractNumId w:val="4"/>
  </w:num>
  <w:num w:numId="27">
    <w:abstractNumId w:val="32"/>
  </w:num>
  <w:num w:numId="28">
    <w:abstractNumId w:val="15"/>
  </w:num>
  <w:num w:numId="29">
    <w:abstractNumId w:val="14"/>
  </w:num>
  <w:num w:numId="30">
    <w:abstractNumId w:val="22"/>
  </w:num>
  <w:num w:numId="31">
    <w:abstractNumId w:val="23"/>
  </w:num>
  <w:num w:numId="32">
    <w:abstractNumId w:val="13"/>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defaultTabStop w:val="720"/>
  <w:hyphenationZone w:val="425"/>
  <w:drawingGridHorizontalSpacing w:val="11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1C0"/>
    <w:rsid w:val="00003599"/>
    <w:rsid w:val="00003625"/>
    <w:rsid w:val="00004348"/>
    <w:rsid w:val="00004B2B"/>
    <w:rsid w:val="00006749"/>
    <w:rsid w:val="00007BDD"/>
    <w:rsid w:val="00011D32"/>
    <w:rsid w:val="00012792"/>
    <w:rsid w:val="0001393E"/>
    <w:rsid w:val="00013FCE"/>
    <w:rsid w:val="000171FE"/>
    <w:rsid w:val="00017D70"/>
    <w:rsid w:val="00017EB2"/>
    <w:rsid w:val="000203F2"/>
    <w:rsid w:val="000245F2"/>
    <w:rsid w:val="000257FD"/>
    <w:rsid w:val="00026BAE"/>
    <w:rsid w:val="000274CF"/>
    <w:rsid w:val="000359F1"/>
    <w:rsid w:val="00036298"/>
    <w:rsid w:val="0003701A"/>
    <w:rsid w:val="00037F06"/>
    <w:rsid w:val="00037FFA"/>
    <w:rsid w:val="00042FE4"/>
    <w:rsid w:val="00043FBA"/>
    <w:rsid w:val="00045461"/>
    <w:rsid w:val="0004602E"/>
    <w:rsid w:val="00050BF4"/>
    <w:rsid w:val="000607F5"/>
    <w:rsid w:val="00060C99"/>
    <w:rsid w:val="0007083F"/>
    <w:rsid w:val="00071D61"/>
    <w:rsid w:val="00072631"/>
    <w:rsid w:val="00072DC0"/>
    <w:rsid w:val="00072FFD"/>
    <w:rsid w:val="00073BCC"/>
    <w:rsid w:val="00074056"/>
    <w:rsid w:val="000744FB"/>
    <w:rsid w:val="00074887"/>
    <w:rsid w:val="000774CE"/>
    <w:rsid w:val="00077CD9"/>
    <w:rsid w:val="00082738"/>
    <w:rsid w:val="00082B0F"/>
    <w:rsid w:val="0008608E"/>
    <w:rsid w:val="00086889"/>
    <w:rsid w:val="000906A7"/>
    <w:rsid w:val="000A20BA"/>
    <w:rsid w:val="000A3D81"/>
    <w:rsid w:val="000A569F"/>
    <w:rsid w:val="000A5B1A"/>
    <w:rsid w:val="000A6901"/>
    <w:rsid w:val="000A6C8D"/>
    <w:rsid w:val="000B0570"/>
    <w:rsid w:val="000B2E62"/>
    <w:rsid w:val="000B7F42"/>
    <w:rsid w:val="000C00B2"/>
    <w:rsid w:val="000C052D"/>
    <w:rsid w:val="000C2D52"/>
    <w:rsid w:val="000C2F6F"/>
    <w:rsid w:val="000C5FCA"/>
    <w:rsid w:val="000C621B"/>
    <w:rsid w:val="000D1E83"/>
    <w:rsid w:val="000D37C7"/>
    <w:rsid w:val="000D471C"/>
    <w:rsid w:val="000E096D"/>
    <w:rsid w:val="000E2FC1"/>
    <w:rsid w:val="000E33BF"/>
    <w:rsid w:val="000E38F2"/>
    <w:rsid w:val="000E4C92"/>
    <w:rsid w:val="000E56E5"/>
    <w:rsid w:val="000E7C43"/>
    <w:rsid w:val="000E7E1F"/>
    <w:rsid w:val="000F1F3E"/>
    <w:rsid w:val="000F3B06"/>
    <w:rsid w:val="00103F29"/>
    <w:rsid w:val="00107E6F"/>
    <w:rsid w:val="00111A87"/>
    <w:rsid w:val="00111B94"/>
    <w:rsid w:val="00113716"/>
    <w:rsid w:val="001137ED"/>
    <w:rsid w:val="00114526"/>
    <w:rsid w:val="00114F87"/>
    <w:rsid w:val="00116E9D"/>
    <w:rsid w:val="0012008A"/>
    <w:rsid w:val="00120741"/>
    <w:rsid w:val="001212D8"/>
    <w:rsid w:val="00124A3D"/>
    <w:rsid w:val="0012548F"/>
    <w:rsid w:val="001279D4"/>
    <w:rsid w:val="0013148B"/>
    <w:rsid w:val="00131F4C"/>
    <w:rsid w:val="00132917"/>
    <w:rsid w:val="00133454"/>
    <w:rsid w:val="0013393C"/>
    <w:rsid w:val="00143613"/>
    <w:rsid w:val="00144E24"/>
    <w:rsid w:val="001465F9"/>
    <w:rsid w:val="0014734E"/>
    <w:rsid w:val="001504F0"/>
    <w:rsid w:val="00151E9E"/>
    <w:rsid w:val="00151FC5"/>
    <w:rsid w:val="001526E4"/>
    <w:rsid w:val="00153F48"/>
    <w:rsid w:val="001540C0"/>
    <w:rsid w:val="001562A0"/>
    <w:rsid w:val="00160C66"/>
    <w:rsid w:val="00161743"/>
    <w:rsid w:val="00164EA3"/>
    <w:rsid w:val="00166C35"/>
    <w:rsid w:val="001749DF"/>
    <w:rsid w:val="00175449"/>
    <w:rsid w:val="00180448"/>
    <w:rsid w:val="00181CE3"/>
    <w:rsid w:val="00185EF3"/>
    <w:rsid w:val="00186027"/>
    <w:rsid w:val="00186979"/>
    <w:rsid w:val="00186EC9"/>
    <w:rsid w:val="00190DAA"/>
    <w:rsid w:val="0019110C"/>
    <w:rsid w:val="0019311A"/>
    <w:rsid w:val="001942DD"/>
    <w:rsid w:val="001953B1"/>
    <w:rsid w:val="00195A93"/>
    <w:rsid w:val="00195DBB"/>
    <w:rsid w:val="001A0C7F"/>
    <w:rsid w:val="001A1A54"/>
    <w:rsid w:val="001A2C5D"/>
    <w:rsid w:val="001A47B2"/>
    <w:rsid w:val="001B4E0D"/>
    <w:rsid w:val="001B55F6"/>
    <w:rsid w:val="001B7A31"/>
    <w:rsid w:val="001C0DB9"/>
    <w:rsid w:val="001C1075"/>
    <w:rsid w:val="001C2F33"/>
    <w:rsid w:val="001C3721"/>
    <w:rsid w:val="001C48A7"/>
    <w:rsid w:val="001C55F5"/>
    <w:rsid w:val="001C6EB1"/>
    <w:rsid w:val="001C741F"/>
    <w:rsid w:val="001D0EF1"/>
    <w:rsid w:val="001D38BF"/>
    <w:rsid w:val="001D3F37"/>
    <w:rsid w:val="001D4805"/>
    <w:rsid w:val="001D4F86"/>
    <w:rsid w:val="001D7619"/>
    <w:rsid w:val="001E24A8"/>
    <w:rsid w:val="001E27E7"/>
    <w:rsid w:val="001E47F6"/>
    <w:rsid w:val="001F1843"/>
    <w:rsid w:val="00201464"/>
    <w:rsid w:val="00201A0E"/>
    <w:rsid w:val="00203FB5"/>
    <w:rsid w:val="00206F30"/>
    <w:rsid w:val="002101E3"/>
    <w:rsid w:val="00210730"/>
    <w:rsid w:val="00216588"/>
    <w:rsid w:val="00221B6A"/>
    <w:rsid w:val="00227D3E"/>
    <w:rsid w:val="00230C44"/>
    <w:rsid w:val="00232A3A"/>
    <w:rsid w:val="00241992"/>
    <w:rsid w:val="00241D4E"/>
    <w:rsid w:val="00242367"/>
    <w:rsid w:val="00242BAF"/>
    <w:rsid w:val="002435BA"/>
    <w:rsid w:val="00244AA8"/>
    <w:rsid w:val="00246522"/>
    <w:rsid w:val="00247DA4"/>
    <w:rsid w:val="002525F0"/>
    <w:rsid w:val="0025320A"/>
    <w:rsid w:val="002537AD"/>
    <w:rsid w:val="00253897"/>
    <w:rsid w:val="002541E6"/>
    <w:rsid w:val="00254C2C"/>
    <w:rsid w:val="00255416"/>
    <w:rsid w:val="00256F36"/>
    <w:rsid w:val="00257166"/>
    <w:rsid w:val="0025720D"/>
    <w:rsid w:val="00260E24"/>
    <w:rsid w:val="0026589D"/>
    <w:rsid w:val="0026645F"/>
    <w:rsid w:val="002718F9"/>
    <w:rsid w:val="002730A6"/>
    <w:rsid w:val="00275163"/>
    <w:rsid w:val="00275668"/>
    <w:rsid w:val="00280352"/>
    <w:rsid w:val="002816F7"/>
    <w:rsid w:val="00285A23"/>
    <w:rsid w:val="00285C78"/>
    <w:rsid w:val="002871FD"/>
    <w:rsid w:val="00291823"/>
    <w:rsid w:val="00292A43"/>
    <w:rsid w:val="002970A1"/>
    <w:rsid w:val="002977BA"/>
    <w:rsid w:val="002A306F"/>
    <w:rsid w:val="002A3939"/>
    <w:rsid w:val="002A53C8"/>
    <w:rsid w:val="002A5B5B"/>
    <w:rsid w:val="002A5F1F"/>
    <w:rsid w:val="002B4506"/>
    <w:rsid w:val="002B4D29"/>
    <w:rsid w:val="002B5FB5"/>
    <w:rsid w:val="002C0992"/>
    <w:rsid w:val="002C116E"/>
    <w:rsid w:val="002C346B"/>
    <w:rsid w:val="002C4C9D"/>
    <w:rsid w:val="002C599F"/>
    <w:rsid w:val="002C5D83"/>
    <w:rsid w:val="002D41DF"/>
    <w:rsid w:val="002D4AF1"/>
    <w:rsid w:val="002D673B"/>
    <w:rsid w:val="002D7653"/>
    <w:rsid w:val="002D7DEE"/>
    <w:rsid w:val="002E2E62"/>
    <w:rsid w:val="002E4EB2"/>
    <w:rsid w:val="002E5409"/>
    <w:rsid w:val="002F09B5"/>
    <w:rsid w:val="002F0DCB"/>
    <w:rsid w:val="002F2181"/>
    <w:rsid w:val="002F3BDD"/>
    <w:rsid w:val="002F44EE"/>
    <w:rsid w:val="002F46C7"/>
    <w:rsid w:val="002F6612"/>
    <w:rsid w:val="00300991"/>
    <w:rsid w:val="00301D4D"/>
    <w:rsid w:val="003076FD"/>
    <w:rsid w:val="00307969"/>
    <w:rsid w:val="00307A30"/>
    <w:rsid w:val="0031068F"/>
    <w:rsid w:val="00310ADA"/>
    <w:rsid w:val="00312BA4"/>
    <w:rsid w:val="00320D23"/>
    <w:rsid w:val="00324B60"/>
    <w:rsid w:val="00324D19"/>
    <w:rsid w:val="00335C10"/>
    <w:rsid w:val="00340650"/>
    <w:rsid w:val="00340D38"/>
    <w:rsid w:val="00341208"/>
    <w:rsid w:val="00344A79"/>
    <w:rsid w:val="00345A11"/>
    <w:rsid w:val="0034721F"/>
    <w:rsid w:val="00351A5C"/>
    <w:rsid w:val="003543EE"/>
    <w:rsid w:val="00356916"/>
    <w:rsid w:val="00357A8B"/>
    <w:rsid w:val="003613B9"/>
    <w:rsid w:val="00362BA5"/>
    <w:rsid w:val="00365369"/>
    <w:rsid w:val="00366D82"/>
    <w:rsid w:val="00367114"/>
    <w:rsid w:val="00367713"/>
    <w:rsid w:val="00380AF8"/>
    <w:rsid w:val="00383A88"/>
    <w:rsid w:val="003853BB"/>
    <w:rsid w:val="00386271"/>
    <w:rsid w:val="00387E02"/>
    <w:rsid w:val="00390B3C"/>
    <w:rsid w:val="003933A5"/>
    <w:rsid w:val="00394823"/>
    <w:rsid w:val="003956C4"/>
    <w:rsid w:val="003A1FFC"/>
    <w:rsid w:val="003A45A0"/>
    <w:rsid w:val="003A6BA5"/>
    <w:rsid w:val="003A75BE"/>
    <w:rsid w:val="003A76C4"/>
    <w:rsid w:val="003B2B59"/>
    <w:rsid w:val="003B2C5C"/>
    <w:rsid w:val="003B3D9B"/>
    <w:rsid w:val="003B7449"/>
    <w:rsid w:val="003B773B"/>
    <w:rsid w:val="003D3586"/>
    <w:rsid w:val="003D5C21"/>
    <w:rsid w:val="003E164D"/>
    <w:rsid w:val="003E1FC6"/>
    <w:rsid w:val="003E579A"/>
    <w:rsid w:val="003F226B"/>
    <w:rsid w:val="003F549A"/>
    <w:rsid w:val="003F5980"/>
    <w:rsid w:val="00401D97"/>
    <w:rsid w:val="00402ED0"/>
    <w:rsid w:val="00403D80"/>
    <w:rsid w:val="00405091"/>
    <w:rsid w:val="0040635D"/>
    <w:rsid w:val="004065E7"/>
    <w:rsid w:val="00411493"/>
    <w:rsid w:val="0041315D"/>
    <w:rsid w:val="00415BF1"/>
    <w:rsid w:val="004169AC"/>
    <w:rsid w:val="004210E1"/>
    <w:rsid w:val="004221F9"/>
    <w:rsid w:val="004232D7"/>
    <w:rsid w:val="00423370"/>
    <w:rsid w:val="004256A5"/>
    <w:rsid w:val="00425A0C"/>
    <w:rsid w:val="004275C5"/>
    <w:rsid w:val="004275E7"/>
    <w:rsid w:val="004303EA"/>
    <w:rsid w:val="004306D3"/>
    <w:rsid w:val="004340EA"/>
    <w:rsid w:val="004373E7"/>
    <w:rsid w:val="00437ECC"/>
    <w:rsid w:val="00443342"/>
    <w:rsid w:val="00443882"/>
    <w:rsid w:val="0044407D"/>
    <w:rsid w:val="00445F70"/>
    <w:rsid w:val="0044649C"/>
    <w:rsid w:val="00447426"/>
    <w:rsid w:val="0044755F"/>
    <w:rsid w:val="00451475"/>
    <w:rsid w:val="004533A1"/>
    <w:rsid w:val="00455728"/>
    <w:rsid w:val="004601CD"/>
    <w:rsid w:val="0046050D"/>
    <w:rsid w:val="00462BD0"/>
    <w:rsid w:val="00471302"/>
    <w:rsid w:val="004714FA"/>
    <w:rsid w:val="00471613"/>
    <w:rsid w:val="0047296F"/>
    <w:rsid w:val="00472E3B"/>
    <w:rsid w:val="00473AC4"/>
    <w:rsid w:val="00475966"/>
    <w:rsid w:val="00475A79"/>
    <w:rsid w:val="004773A7"/>
    <w:rsid w:val="00477C9A"/>
    <w:rsid w:val="00483C1D"/>
    <w:rsid w:val="0048718C"/>
    <w:rsid w:val="004909CE"/>
    <w:rsid w:val="00490EF8"/>
    <w:rsid w:val="004936A2"/>
    <w:rsid w:val="00494B85"/>
    <w:rsid w:val="00496BE0"/>
    <w:rsid w:val="0049771F"/>
    <w:rsid w:val="004A0126"/>
    <w:rsid w:val="004A0BA5"/>
    <w:rsid w:val="004A0DF6"/>
    <w:rsid w:val="004A24E0"/>
    <w:rsid w:val="004A2AA5"/>
    <w:rsid w:val="004A3145"/>
    <w:rsid w:val="004A65AD"/>
    <w:rsid w:val="004A7083"/>
    <w:rsid w:val="004B1896"/>
    <w:rsid w:val="004B4481"/>
    <w:rsid w:val="004B4DDA"/>
    <w:rsid w:val="004B5A80"/>
    <w:rsid w:val="004B692D"/>
    <w:rsid w:val="004B7D07"/>
    <w:rsid w:val="004C3F66"/>
    <w:rsid w:val="004C492C"/>
    <w:rsid w:val="004C550E"/>
    <w:rsid w:val="004C63BB"/>
    <w:rsid w:val="004C731C"/>
    <w:rsid w:val="004D16D1"/>
    <w:rsid w:val="004D67E9"/>
    <w:rsid w:val="004E0BCE"/>
    <w:rsid w:val="004E1042"/>
    <w:rsid w:val="004E2582"/>
    <w:rsid w:val="004E2B3E"/>
    <w:rsid w:val="004E68B8"/>
    <w:rsid w:val="004E708F"/>
    <w:rsid w:val="004F40F4"/>
    <w:rsid w:val="004F4B6A"/>
    <w:rsid w:val="004F53BF"/>
    <w:rsid w:val="0050130F"/>
    <w:rsid w:val="00504639"/>
    <w:rsid w:val="005046F8"/>
    <w:rsid w:val="00507D83"/>
    <w:rsid w:val="005117EE"/>
    <w:rsid w:val="00512FB1"/>
    <w:rsid w:val="00515297"/>
    <w:rsid w:val="00515648"/>
    <w:rsid w:val="00515D88"/>
    <w:rsid w:val="00515F75"/>
    <w:rsid w:val="00516F2C"/>
    <w:rsid w:val="00520F86"/>
    <w:rsid w:val="0052321D"/>
    <w:rsid w:val="00524D6D"/>
    <w:rsid w:val="005266CF"/>
    <w:rsid w:val="00535120"/>
    <w:rsid w:val="00536CA9"/>
    <w:rsid w:val="00537886"/>
    <w:rsid w:val="00537B17"/>
    <w:rsid w:val="00537E60"/>
    <w:rsid w:val="0054022E"/>
    <w:rsid w:val="00542AEA"/>
    <w:rsid w:val="005441F7"/>
    <w:rsid w:val="00544310"/>
    <w:rsid w:val="005444C1"/>
    <w:rsid w:val="005469D9"/>
    <w:rsid w:val="00546AFB"/>
    <w:rsid w:val="005477C2"/>
    <w:rsid w:val="00552421"/>
    <w:rsid w:val="00555964"/>
    <w:rsid w:val="0055602F"/>
    <w:rsid w:val="0055694C"/>
    <w:rsid w:val="005572BD"/>
    <w:rsid w:val="0056032E"/>
    <w:rsid w:val="005609FF"/>
    <w:rsid w:val="00561DCB"/>
    <w:rsid w:val="005633D5"/>
    <w:rsid w:val="00565CE1"/>
    <w:rsid w:val="005708FE"/>
    <w:rsid w:val="00571355"/>
    <w:rsid w:val="005715C9"/>
    <w:rsid w:val="005724A4"/>
    <w:rsid w:val="00575543"/>
    <w:rsid w:val="00577427"/>
    <w:rsid w:val="00582D12"/>
    <w:rsid w:val="005831CB"/>
    <w:rsid w:val="00584FBF"/>
    <w:rsid w:val="00586770"/>
    <w:rsid w:val="00592BDF"/>
    <w:rsid w:val="00596356"/>
    <w:rsid w:val="005976C6"/>
    <w:rsid w:val="005A25C4"/>
    <w:rsid w:val="005A29C6"/>
    <w:rsid w:val="005A6E33"/>
    <w:rsid w:val="005B0051"/>
    <w:rsid w:val="005B0C0C"/>
    <w:rsid w:val="005B1973"/>
    <w:rsid w:val="005B1BAF"/>
    <w:rsid w:val="005B44CB"/>
    <w:rsid w:val="005B49E0"/>
    <w:rsid w:val="005B4FB7"/>
    <w:rsid w:val="005C049C"/>
    <w:rsid w:val="005C3B84"/>
    <w:rsid w:val="005C4E29"/>
    <w:rsid w:val="005C5F0D"/>
    <w:rsid w:val="005D0149"/>
    <w:rsid w:val="005D12B1"/>
    <w:rsid w:val="005D14B0"/>
    <w:rsid w:val="005D468B"/>
    <w:rsid w:val="005D5711"/>
    <w:rsid w:val="005D610F"/>
    <w:rsid w:val="005D7553"/>
    <w:rsid w:val="005E206F"/>
    <w:rsid w:val="005E2E5B"/>
    <w:rsid w:val="005E39D1"/>
    <w:rsid w:val="005E56EA"/>
    <w:rsid w:val="005E6265"/>
    <w:rsid w:val="005E66B6"/>
    <w:rsid w:val="005E6B04"/>
    <w:rsid w:val="005E7493"/>
    <w:rsid w:val="005E79E4"/>
    <w:rsid w:val="005F2BA9"/>
    <w:rsid w:val="005F3F55"/>
    <w:rsid w:val="005F5BD5"/>
    <w:rsid w:val="0060221E"/>
    <w:rsid w:val="006042D6"/>
    <w:rsid w:val="00605602"/>
    <w:rsid w:val="006057F8"/>
    <w:rsid w:val="0060642E"/>
    <w:rsid w:val="006069AC"/>
    <w:rsid w:val="006115B6"/>
    <w:rsid w:val="00612A6C"/>
    <w:rsid w:val="00615320"/>
    <w:rsid w:val="00615360"/>
    <w:rsid w:val="00617D18"/>
    <w:rsid w:val="00620016"/>
    <w:rsid w:val="006205D5"/>
    <w:rsid w:val="00622A8C"/>
    <w:rsid w:val="00622DBE"/>
    <w:rsid w:val="00624794"/>
    <w:rsid w:val="00625312"/>
    <w:rsid w:val="00626A58"/>
    <w:rsid w:val="00627417"/>
    <w:rsid w:val="0062750E"/>
    <w:rsid w:val="006352C6"/>
    <w:rsid w:val="006358A7"/>
    <w:rsid w:val="006472B4"/>
    <w:rsid w:val="00647C79"/>
    <w:rsid w:val="00652D68"/>
    <w:rsid w:val="00653644"/>
    <w:rsid w:val="00655656"/>
    <w:rsid w:val="0066118F"/>
    <w:rsid w:val="006626DA"/>
    <w:rsid w:val="00663BF5"/>
    <w:rsid w:val="00664947"/>
    <w:rsid w:val="00671941"/>
    <w:rsid w:val="00674408"/>
    <w:rsid w:val="00675B29"/>
    <w:rsid w:val="00676B78"/>
    <w:rsid w:val="00676DAA"/>
    <w:rsid w:val="006778B8"/>
    <w:rsid w:val="006814A0"/>
    <w:rsid w:val="00684922"/>
    <w:rsid w:val="00684D6E"/>
    <w:rsid w:val="006923D6"/>
    <w:rsid w:val="006949CD"/>
    <w:rsid w:val="00694AB7"/>
    <w:rsid w:val="00697DAF"/>
    <w:rsid w:val="006A0412"/>
    <w:rsid w:val="006A0805"/>
    <w:rsid w:val="006A47E7"/>
    <w:rsid w:val="006A5AFC"/>
    <w:rsid w:val="006A5BF7"/>
    <w:rsid w:val="006B4EA9"/>
    <w:rsid w:val="006B77BE"/>
    <w:rsid w:val="006C3EE1"/>
    <w:rsid w:val="006C5043"/>
    <w:rsid w:val="006D0F70"/>
    <w:rsid w:val="006D1744"/>
    <w:rsid w:val="006D32C5"/>
    <w:rsid w:val="006D7942"/>
    <w:rsid w:val="006E0989"/>
    <w:rsid w:val="006E0CF6"/>
    <w:rsid w:val="006E2367"/>
    <w:rsid w:val="006E46F1"/>
    <w:rsid w:val="006E4BE1"/>
    <w:rsid w:val="006E50F6"/>
    <w:rsid w:val="006F2025"/>
    <w:rsid w:val="00701A31"/>
    <w:rsid w:val="0070396C"/>
    <w:rsid w:val="00704B13"/>
    <w:rsid w:val="00710193"/>
    <w:rsid w:val="00712BD6"/>
    <w:rsid w:val="00713636"/>
    <w:rsid w:val="00714B09"/>
    <w:rsid w:val="00714E65"/>
    <w:rsid w:val="00715299"/>
    <w:rsid w:val="007173A9"/>
    <w:rsid w:val="00720A73"/>
    <w:rsid w:val="00721228"/>
    <w:rsid w:val="00721F5B"/>
    <w:rsid w:val="007309C5"/>
    <w:rsid w:val="00731971"/>
    <w:rsid w:val="00736F78"/>
    <w:rsid w:val="00741973"/>
    <w:rsid w:val="007453DF"/>
    <w:rsid w:val="00745B5C"/>
    <w:rsid w:val="007469A4"/>
    <w:rsid w:val="00747B2F"/>
    <w:rsid w:val="00753EBA"/>
    <w:rsid w:val="00755060"/>
    <w:rsid w:val="0075775A"/>
    <w:rsid w:val="00760AC7"/>
    <w:rsid w:val="00761629"/>
    <w:rsid w:val="00763CCF"/>
    <w:rsid w:val="00764962"/>
    <w:rsid w:val="00770133"/>
    <w:rsid w:val="00770F31"/>
    <w:rsid w:val="00771BD8"/>
    <w:rsid w:val="00773833"/>
    <w:rsid w:val="0077633B"/>
    <w:rsid w:val="0077666E"/>
    <w:rsid w:val="007853DC"/>
    <w:rsid w:val="00785E09"/>
    <w:rsid w:val="007861B4"/>
    <w:rsid w:val="00786D6C"/>
    <w:rsid w:val="00786DE1"/>
    <w:rsid w:val="00787A08"/>
    <w:rsid w:val="00791F9F"/>
    <w:rsid w:val="007941C8"/>
    <w:rsid w:val="0079582F"/>
    <w:rsid w:val="007A00E4"/>
    <w:rsid w:val="007A0D86"/>
    <w:rsid w:val="007A60F3"/>
    <w:rsid w:val="007A65B8"/>
    <w:rsid w:val="007B0568"/>
    <w:rsid w:val="007B1000"/>
    <w:rsid w:val="007C0B01"/>
    <w:rsid w:val="007C4E10"/>
    <w:rsid w:val="007C589B"/>
    <w:rsid w:val="007C7E1B"/>
    <w:rsid w:val="007D4D2C"/>
    <w:rsid w:val="007D4E43"/>
    <w:rsid w:val="007D4FDA"/>
    <w:rsid w:val="007E0B08"/>
    <w:rsid w:val="007E0B92"/>
    <w:rsid w:val="007E197F"/>
    <w:rsid w:val="007E1CAD"/>
    <w:rsid w:val="007F4FF1"/>
    <w:rsid w:val="007F5122"/>
    <w:rsid w:val="007F6BC4"/>
    <w:rsid w:val="008018D7"/>
    <w:rsid w:val="00803B73"/>
    <w:rsid w:val="00804E33"/>
    <w:rsid w:val="00805596"/>
    <w:rsid w:val="008073F0"/>
    <w:rsid w:val="008076A1"/>
    <w:rsid w:val="008104E6"/>
    <w:rsid w:val="00810AED"/>
    <w:rsid w:val="00813767"/>
    <w:rsid w:val="00814109"/>
    <w:rsid w:val="00814CEA"/>
    <w:rsid w:val="00816D54"/>
    <w:rsid w:val="0082109B"/>
    <w:rsid w:val="00822BB6"/>
    <w:rsid w:val="00823190"/>
    <w:rsid w:val="00823A35"/>
    <w:rsid w:val="00824807"/>
    <w:rsid w:val="00825AA8"/>
    <w:rsid w:val="008269DC"/>
    <w:rsid w:val="008269F8"/>
    <w:rsid w:val="008331D4"/>
    <w:rsid w:val="00833F3A"/>
    <w:rsid w:val="008349E3"/>
    <w:rsid w:val="00837110"/>
    <w:rsid w:val="00841037"/>
    <w:rsid w:val="00841C50"/>
    <w:rsid w:val="00842EBC"/>
    <w:rsid w:val="00843BAD"/>
    <w:rsid w:val="0084593E"/>
    <w:rsid w:val="00847B2B"/>
    <w:rsid w:val="00850370"/>
    <w:rsid w:val="00852634"/>
    <w:rsid w:val="00853C24"/>
    <w:rsid w:val="00854B80"/>
    <w:rsid w:val="00857CD5"/>
    <w:rsid w:val="0086007A"/>
    <w:rsid w:val="008610ED"/>
    <w:rsid w:val="008611CA"/>
    <w:rsid w:val="00862356"/>
    <w:rsid w:val="008637DF"/>
    <w:rsid w:val="0086553E"/>
    <w:rsid w:val="00865CCE"/>
    <w:rsid w:val="00866A55"/>
    <w:rsid w:val="00866A7B"/>
    <w:rsid w:val="008731FE"/>
    <w:rsid w:val="00874F90"/>
    <w:rsid w:val="00876024"/>
    <w:rsid w:val="00880EA0"/>
    <w:rsid w:val="00887D7C"/>
    <w:rsid w:val="00890E19"/>
    <w:rsid w:val="008958E7"/>
    <w:rsid w:val="00896A5E"/>
    <w:rsid w:val="008975D8"/>
    <w:rsid w:val="008A0249"/>
    <w:rsid w:val="008A39FA"/>
    <w:rsid w:val="008A443B"/>
    <w:rsid w:val="008A4E8D"/>
    <w:rsid w:val="008A573F"/>
    <w:rsid w:val="008A6E9E"/>
    <w:rsid w:val="008B0849"/>
    <w:rsid w:val="008B0BE7"/>
    <w:rsid w:val="008B4E52"/>
    <w:rsid w:val="008B5CA6"/>
    <w:rsid w:val="008B7611"/>
    <w:rsid w:val="008C6E45"/>
    <w:rsid w:val="008D5107"/>
    <w:rsid w:val="008E02E1"/>
    <w:rsid w:val="008E3153"/>
    <w:rsid w:val="008E4DAA"/>
    <w:rsid w:val="008E56E0"/>
    <w:rsid w:val="008E675F"/>
    <w:rsid w:val="008F23D3"/>
    <w:rsid w:val="008F331B"/>
    <w:rsid w:val="00900032"/>
    <w:rsid w:val="009015ED"/>
    <w:rsid w:val="00901BCA"/>
    <w:rsid w:val="00902116"/>
    <w:rsid w:val="00902390"/>
    <w:rsid w:val="00902495"/>
    <w:rsid w:val="00902696"/>
    <w:rsid w:val="00904D69"/>
    <w:rsid w:val="00905828"/>
    <w:rsid w:val="00906164"/>
    <w:rsid w:val="00907D83"/>
    <w:rsid w:val="00910CE2"/>
    <w:rsid w:val="00912E53"/>
    <w:rsid w:val="0091408D"/>
    <w:rsid w:val="0091649B"/>
    <w:rsid w:val="009178F7"/>
    <w:rsid w:val="00921CFD"/>
    <w:rsid w:val="00922E85"/>
    <w:rsid w:val="00923EC6"/>
    <w:rsid w:val="009319AD"/>
    <w:rsid w:val="0093656E"/>
    <w:rsid w:val="0094062C"/>
    <w:rsid w:val="009416A8"/>
    <w:rsid w:val="009419AC"/>
    <w:rsid w:val="00943294"/>
    <w:rsid w:val="00944311"/>
    <w:rsid w:val="00951960"/>
    <w:rsid w:val="009528C7"/>
    <w:rsid w:val="00955B47"/>
    <w:rsid w:val="00957035"/>
    <w:rsid w:val="009617AB"/>
    <w:rsid w:val="00961911"/>
    <w:rsid w:val="00964929"/>
    <w:rsid w:val="009653A6"/>
    <w:rsid w:val="009679DE"/>
    <w:rsid w:val="00972B77"/>
    <w:rsid w:val="0098300F"/>
    <w:rsid w:val="00983D57"/>
    <w:rsid w:val="00987827"/>
    <w:rsid w:val="00990F38"/>
    <w:rsid w:val="009946F4"/>
    <w:rsid w:val="00995C8C"/>
    <w:rsid w:val="00997426"/>
    <w:rsid w:val="009A0193"/>
    <w:rsid w:val="009A5546"/>
    <w:rsid w:val="009A742D"/>
    <w:rsid w:val="009B3300"/>
    <w:rsid w:val="009B5193"/>
    <w:rsid w:val="009B53E0"/>
    <w:rsid w:val="009B7608"/>
    <w:rsid w:val="009C2E17"/>
    <w:rsid w:val="009C4B30"/>
    <w:rsid w:val="009C6954"/>
    <w:rsid w:val="009C716D"/>
    <w:rsid w:val="009D0B4D"/>
    <w:rsid w:val="009D1351"/>
    <w:rsid w:val="009D59AC"/>
    <w:rsid w:val="009D6CBD"/>
    <w:rsid w:val="009D7E39"/>
    <w:rsid w:val="009D7F16"/>
    <w:rsid w:val="009D7F1F"/>
    <w:rsid w:val="009E10B6"/>
    <w:rsid w:val="009E1A30"/>
    <w:rsid w:val="009E383D"/>
    <w:rsid w:val="009E56C5"/>
    <w:rsid w:val="009F0C09"/>
    <w:rsid w:val="009F1F48"/>
    <w:rsid w:val="009F6740"/>
    <w:rsid w:val="009F776D"/>
    <w:rsid w:val="00A01CDF"/>
    <w:rsid w:val="00A02E86"/>
    <w:rsid w:val="00A04A2D"/>
    <w:rsid w:val="00A04F3E"/>
    <w:rsid w:val="00A05899"/>
    <w:rsid w:val="00A10324"/>
    <w:rsid w:val="00A10D65"/>
    <w:rsid w:val="00A112CD"/>
    <w:rsid w:val="00A132D1"/>
    <w:rsid w:val="00A1397F"/>
    <w:rsid w:val="00A1570D"/>
    <w:rsid w:val="00A16611"/>
    <w:rsid w:val="00A17384"/>
    <w:rsid w:val="00A17B9A"/>
    <w:rsid w:val="00A21AD1"/>
    <w:rsid w:val="00A21ADC"/>
    <w:rsid w:val="00A22431"/>
    <w:rsid w:val="00A22D51"/>
    <w:rsid w:val="00A2364E"/>
    <w:rsid w:val="00A23885"/>
    <w:rsid w:val="00A25C8F"/>
    <w:rsid w:val="00A2733C"/>
    <w:rsid w:val="00A31B81"/>
    <w:rsid w:val="00A35363"/>
    <w:rsid w:val="00A35601"/>
    <w:rsid w:val="00A3583C"/>
    <w:rsid w:val="00A36A91"/>
    <w:rsid w:val="00A370CE"/>
    <w:rsid w:val="00A379D1"/>
    <w:rsid w:val="00A423FE"/>
    <w:rsid w:val="00A44DAB"/>
    <w:rsid w:val="00A457DC"/>
    <w:rsid w:val="00A45B00"/>
    <w:rsid w:val="00A4609A"/>
    <w:rsid w:val="00A511A4"/>
    <w:rsid w:val="00A51CD2"/>
    <w:rsid w:val="00A54AC1"/>
    <w:rsid w:val="00A55774"/>
    <w:rsid w:val="00A57538"/>
    <w:rsid w:val="00A63C58"/>
    <w:rsid w:val="00A6528C"/>
    <w:rsid w:val="00A74686"/>
    <w:rsid w:val="00A75030"/>
    <w:rsid w:val="00A76B5B"/>
    <w:rsid w:val="00A77961"/>
    <w:rsid w:val="00A80E30"/>
    <w:rsid w:val="00A82823"/>
    <w:rsid w:val="00A85D92"/>
    <w:rsid w:val="00A8607F"/>
    <w:rsid w:val="00A86266"/>
    <w:rsid w:val="00A87117"/>
    <w:rsid w:val="00A91F09"/>
    <w:rsid w:val="00A9289B"/>
    <w:rsid w:val="00A9777E"/>
    <w:rsid w:val="00AA3A1D"/>
    <w:rsid w:val="00AA3D0E"/>
    <w:rsid w:val="00AA5541"/>
    <w:rsid w:val="00AA7461"/>
    <w:rsid w:val="00AA7467"/>
    <w:rsid w:val="00AB0FE0"/>
    <w:rsid w:val="00AB2F03"/>
    <w:rsid w:val="00AB348F"/>
    <w:rsid w:val="00AB57EE"/>
    <w:rsid w:val="00AB6EB5"/>
    <w:rsid w:val="00AC1E22"/>
    <w:rsid w:val="00AC23AE"/>
    <w:rsid w:val="00AC2406"/>
    <w:rsid w:val="00AC5F9A"/>
    <w:rsid w:val="00AD1095"/>
    <w:rsid w:val="00AD1806"/>
    <w:rsid w:val="00AD4AE9"/>
    <w:rsid w:val="00AD5614"/>
    <w:rsid w:val="00AE003F"/>
    <w:rsid w:val="00AE0E24"/>
    <w:rsid w:val="00AE107F"/>
    <w:rsid w:val="00AE264A"/>
    <w:rsid w:val="00AE418D"/>
    <w:rsid w:val="00AE6534"/>
    <w:rsid w:val="00AE7BCC"/>
    <w:rsid w:val="00AF15C3"/>
    <w:rsid w:val="00AF203A"/>
    <w:rsid w:val="00AF5122"/>
    <w:rsid w:val="00AF52F1"/>
    <w:rsid w:val="00AF5605"/>
    <w:rsid w:val="00AF5C94"/>
    <w:rsid w:val="00B00945"/>
    <w:rsid w:val="00B01B52"/>
    <w:rsid w:val="00B02F06"/>
    <w:rsid w:val="00B03DBA"/>
    <w:rsid w:val="00B04A15"/>
    <w:rsid w:val="00B05304"/>
    <w:rsid w:val="00B07125"/>
    <w:rsid w:val="00B071DC"/>
    <w:rsid w:val="00B1437E"/>
    <w:rsid w:val="00B14DE1"/>
    <w:rsid w:val="00B14F4C"/>
    <w:rsid w:val="00B16620"/>
    <w:rsid w:val="00B20965"/>
    <w:rsid w:val="00B22CA8"/>
    <w:rsid w:val="00B2361D"/>
    <w:rsid w:val="00B262BB"/>
    <w:rsid w:val="00B27054"/>
    <w:rsid w:val="00B333DC"/>
    <w:rsid w:val="00B33F00"/>
    <w:rsid w:val="00B358AA"/>
    <w:rsid w:val="00B416E8"/>
    <w:rsid w:val="00B42CB7"/>
    <w:rsid w:val="00B42DA9"/>
    <w:rsid w:val="00B47C23"/>
    <w:rsid w:val="00B513AF"/>
    <w:rsid w:val="00B51CC3"/>
    <w:rsid w:val="00B5304E"/>
    <w:rsid w:val="00B536DD"/>
    <w:rsid w:val="00B607F7"/>
    <w:rsid w:val="00B610E9"/>
    <w:rsid w:val="00B6376E"/>
    <w:rsid w:val="00B637A3"/>
    <w:rsid w:val="00B63857"/>
    <w:rsid w:val="00B648BC"/>
    <w:rsid w:val="00B64BC1"/>
    <w:rsid w:val="00B657B7"/>
    <w:rsid w:val="00B6668A"/>
    <w:rsid w:val="00B6682F"/>
    <w:rsid w:val="00B7095D"/>
    <w:rsid w:val="00B70D26"/>
    <w:rsid w:val="00B72283"/>
    <w:rsid w:val="00B7234F"/>
    <w:rsid w:val="00B7483C"/>
    <w:rsid w:val="00B7588C"/>
    <w:rsid w:val="00B778C2"/>
    <w:rsid w:val="00B82540"/>
    <w:rsid w:val="00B829E0"/>
    <w:rsid w:val="00B84302"/>
    <w:rsid w:val="00B850B8"/>
    <w:rsid w:val="00B85372"/>
    <w:rsid w:val="00B8726B"/>
    <w:rsid w:val="00B87430"/>
    <w:rsid w:val="00B9086C"/>
    <w:rsid w:val="00B90F9E"/>
    <w:rsid w:val="00B9198F"/>
    <w:rsid w:val="00B94143"/>
    <w:rsid w:val="00B942CC"/>
    <w:rsid w:val="00B95D14"/>
    <w:rsid w:val="00B96AC4"/>
    <w:rsid w:val="00BA06D0"/>
    <w:rsid w:val="00BA072E"/>
    <w:rsid w:val="00BA17AF"/>
    <w:rsid w:val="00BA1F99"/>
    <w:rsid w:val="00BA3627"/>
    <w:rsid w:val="00BA5597"/>
    <w:rsid w:val="00BA73AF"/>
    <w:rsid w:val="00BB36D0"/>
    <w:rsid w:val="00BC031D"/>
    <w:rsid w:val="00BC6286"/>
    <w:rsid w:val="00BD11CF"/>
    <w:rsid w:val="00BD2FCE"/>
    <w:rsid w:val="00BD3512"/>
    <w:rsid w:val="00BD3977"/>
    <w:rsid w:val="00BD409F"/>
    <w:rsid w:val="00BD4395"/>
    <w:rsid w:val="00BD45DB"/>
    <w:rsid w:val="00BD69D8"/>
    <w:rsid w:val="00BE479F"/>
    <w:rsid w:val="00BE5568"/>
    <w:rsid w:val="00BE628E"/>
    <w:rsid w:val="00BE656E"/>
    <w:rsid w:val="00BE765D"/>
    <w:rsid w:val="00BE7A01"/>
    <w:rsid w:val="00BE7C07"/>
    <w:rsid w:val="00BF0769"/>
    <w:rsid w:val="00BF3AF9"/>
    <w:rsid w:val="00BF5901"/>
    <w:rsid w:val="00C006CA"/>
    <w:rsid w:val="00C021A6"/>
    <w:rsid w:val="00C1036A"/>
    <w:rsid w:val="00C1356E"/>
    <w:rsid w:val="00C14CE6"/>
    <w:rsid w:val="00C15401"/>
    <w:rsid w:val="00C1544B"/>
    <w:rsid w:val="00C21C2A"/>
    <w:rsid w:val="00C25C4B"/>
    <w:rsid w:val="00C2795D"/>
    <w:rsid w:val="00C27A7F"/>
    <w:rsid w:val="00C3095E"/>
    <w:rsid w:val="00C32902"/>
    <w:rsid w:val="00C33E70"/>
    <w:rsid w:val="00C37243"/>
    <w:rsid w:val="00C37BC6"/>
    <w:rsid w:val="00C41F75"/>
    <w:rsid w:val="00C435CF"/>
    <w:rsid w:val="00C467D6"/>
    <w:rsid w:val="00C4778E"/>
    <w:rsid w:val="00C504F3"/>
    <w:rsid w:val="00C50D75"/>
    <w:rsid w:val="00C50EBE"/>
    <w:rsid w:val="00C52B80"/>
    <w:rsid w:val="00C52D1C"/>
    <w:rsid w:val="00C53A09"/>
    <w:rsid w:val="00C54CF7"/>
    <w:rsid w:val="00C568BC"/>
    <w:rsid w:val="00C672AD"/>
    <w:rsid w:val="00C7654E"/>
    <w:rsid w:val="00C76815"/>
    <w:rsid w:val="00C802E8"/>
    <w:rsid w:val="00C80D7A"/>
    <w:rsid w:val="00C82B6B"/>
    <w:rsid w:val="00C83394"/>
    <w:rsid w:val="00C84820"/>
    <w:rsid w:val="00C84D68"/>
    <w:rsid w:val="00C85D46"/>
    <w:rsid w:val="00C86104"/>
    <w:rsid w:val="00C92136"/>
    <w:rsid w:val="00C9312D"/>
    <w:rsid w:val="00C94A19"/>
    <w:rsid w:val="00C94BBD"/>
    <w:rsid w:val="00C972E6"/>
    <w:rsid w:val="00C97432"/>
    <w:rsid w:val="00CA20C0"/>
    <w:rsid w:val="00CA4884"/>
    <w:rsid w:val="00CA5267"/>
    <w:rsid w:val="00CB042E"/>
    <w:rsid w:val="00CB184E"/>
    <w:rsid w:val="00CB25AA"/>
    <w:rsid w:val="00CB2FD6"/>
    <w:rsid w:val="00CB35DF"/>
    <w:rsid w:val="00CB6FF5"/>
    <w:rsid w:val="00CC1822"/>
    <w:rsid w:val="00CC419F"/>
    <w:rsid w:val="00CC5712"/>
    <w:rsid w:val="00CC5E9F"/>
    <w:rsid w:val="00CD61CA"/>
    <w:rsid w:val="00CD71E6"/>
    <w:rsid w:val="00CE20CE"/>
    <w:rsid w:val="00CE25D2"/>
    <w:rsid w:val="00CE3F5E"/>
    <w:rsid w:val="00CE63A1"/>
    <w:rsid w:val="00CF1B32"/>
    <w:rsid w:val="00CF59DB"/>
    <w:rsid w:val="00D003A3"/>
    <w:rsid w:val="00D03921"/>
    <w:rsid w:val="00D120D3"/>
    <w:rsid w:val="00D21189"/>
    <w:rsid w:val="00D21B19"/>
    <w:rsid w:val="00D2399C"/>
    <w:rsid w:val="00D30313"/>
    <w:rsid w:val="00D3567D"/>
    <w:rsid w:val="00D3599E"/>
    <w:rsid w:val="00D3616B"/>
    <w:rsid w:val="00D36C28"/>
    <w:rsid w:val="00D3731B"/>
    <w:rsid w:val="00D41214"/>
    <w:rsid w:val="00D41EEB"/>
    <w:rsid w:val="00D42DA8"/>
    <w:rsid w:val="00D47016"/>
    <w:rsid w:val="00D51F31"/>
    <w:rsid w:val="00D53548"/>
    <w:rsid w:val="00D53BCB"/>
    <w:rsid w:val="00D54C63"/>
    <w:rsid w:val="00D566CB"/>
    <w:rsid w:val="00D57E88"/>
    <w:rsid w:val="00D6115A"/>
    <w:rsid w:val="00D6485A"/>
    <w:rsid w:val="00D65591"/>
    <w:rsid w:val="00D65EC7"/>
    <w:rsid w:val="00D67DB3"/>
    <w:rsid w:val="00D71D46"/>
    <w:rsid w:val="00D75AA6"/>
    <w:rsid w:val="00D80C2E"/>
    <w:rsid w:val="00D81FB0"/>
    <w:rsid w:val="00D822CF"/>
    <w:rsid w:val="00D87C4C"/>
    <w:rsid w:val="00D95834"/>
    <w:rsid w:val="00DA0830"/>
    <w:rsid w:val="00DA1624"/>
    <w:rsid w:val="00DA19F4"/>
    <w:rsid w:val="00DA30A9"/>
    <w:rsid w:val="00DA57E5"/>
    <w:rsid w:val="00DA6D91"/>
    <w:rsid w:val="00DB2CC8"/>
    <w:rsid w:val="00DC0737"/>
    <w:rsid w:val="00DC1330"/>
    <w:rsid w:val="00DC3D8F"/>
    <w:rsid w:val="00DC558D"/>
    <w:rsid w:val="00DC6ECA"/>
    <w:rsid w:val="00DD0A95"/>
    <w:rsid w:val="00DD1241"/>
    <w:rsid w:val="00DD2399"/>
    <w:rsid w:val="00DD3C04"/>
    <w:rsid w:val="00DD4D19"/>
    <w:rsid w:val="00DD6AA3"/>
    <w:rsid w:val="00DE47A6"/>
    <w:rsid w:val="00DE5049"/>
    <w:rsid w:val="00DE5535"/>
    <w:rsid w:val="00DE55BD"/>
    <w:rsid w:val="00DE6B37"/>
    <w:rsid w:val="00DE732C"/>
    <w:rsid w:val="00DF2892"/>
    <w:rsid w:val="00DF2ED0"/>
    <w:rsid w:val="00DF66DD"/>
    <w:rsid w:val="00E00B0F"/>
    <w:rsid w:val="00E00CDF"/>
    <w:rsid w:val="00E057EB"/>
    <w:rsid w:val="00E0621D"/>
    <w:rsid w:val="00E14128"/>
    <w:rsid w:val="00E1641C"/>
    <w:rsid w:val="00E207B2"/>
    <w:rsid w:val="00E23808"/>
    <w:rsid w:val="00E24256"/>
    <w:rsid w:val="00E25CA9"/>
    <w:rsid w:val="00E2656A"/>
    <w:rsid w:val="00E26C03"/>
    <w:rsid w:val="00E26E46"/>
    <w:rsid w:val="00E27565"/>
    <w:rsid w:val="00E3044F"/>
    <w:rsid w:val="00E3318F"/>
    <w:rsid w:val="00E33B70"/>
    <w:rsid w:val="00E4011D"/>
    <w:rsid w:val="00E43087"/>
    <w:rsid w:val="00E445A2"/>
    <w:rsid w:val="00E51002"/>
    <w:rsid w:val="00E527BB"/>
    <w:rsid w:val="00E549EE"/>
    <w:rsid w:val="00E56593"/>
    <w:rsid w:val="00E566E8"/>
    <w:rsid w:val="00E568E9"/>
    <w:rsid w:val="00E575FF"/>
    <w:rsid w:val="00E5791A"/>
    <w:rsid w:val="00E60E56"/>
    <w:rsid w:val="00E656AD"/>
    <w:rsid w:val="00E65DD8"/>
    <w:rsid w:val="00E67E05"/>
    <w:rsid w:val="00E711A6"/>
    <w:rsid w:val="00E71520"/>
    <w:rsid w:val="00E742A6"/>
    <w:rsid w:val="00E747B2"/>
    <w:rsid w:val="00E76E0A"/>
    <w:rsid w:val="00E821F9"/>
    <w:rsid w:val="00E84ED8"/>
    <w:rsid w:val="00E8761C"/>
    <w:rsid w:val="00E90EE0"/>
    <w:rsid w:val="00E9267F"/>
    <w:rsid w:val="00E92EF2"/>
    <w:rsid w:val="00E941CE"/>
    <w:rsid w:val="00E96FB9"/>
    <w:rsid w:val="00E971F9"/>
    <w:rsid w:val="00EA38E6"/>
    <w:rsid w:val="00EA3B62"/>
    <w:rsid w:val="00EA425D"/>
    <w:rsid w:val="00EA4C96"/>
    <w:rsid w:val="00EA678F"/>
    <w:rsid w:val="00EA71BA"/>
    <w:rsid w:val="00EB1B41"/>
    <w:rsid w:val="00EB3B08"/>
    <w:rsid w:val="00EB3F80"/>
    <w:rsid w:val="00EB4B2C"/>
    <w:rsid w:val="00EB4CDA"/>
    <w:rsid w:val="00EB606B"/>
    <w:rsid w:val="00EB6278"/>
    <w:rsid w:val="00EC2BAF"/>
    <w:rsid w:val="00EC2D25"/>
    <w:rsid w:val="00EC2DCA"/>
    <w:rsid w:val="00EC5238"/>
    <w:rsid w:val="00EC60B2"/>
    <w:rsid w:val="00EC77C9"/>
    <w:rsid w:val="00ED0BF0"/>
    <w:rsid w:val="00ED1552"/>
    <w:rsid w:val="00ED1F16"/>
    <w:rsid w:val="00ED25AB"/>
    <w:rsid w:val="00ED3E18"/>
    <w:rsid w:val="00ED47A9"/>
    <w:rsid w:val="00ED7F10"/>
    <w:rsid w:val="00EE0579"/>
    <w:rsid w:val="00EE1F56"/>
    <w:rsid w:val="00EE3796"/>
    <w:rsid w:val="00EE5C0F"/>
    <w:rsid w:val="00EE7541"/>
    <w:rsid w:val="00EF0877"/>
    <w:rsid w:val="00EF4358"/>
    <w:rsid w:val="00EF467B"/>
    <w:rsid w:val="00EF6BD0"/>
    <w:rsid w:val="00F008AB"/>
    <w:rsid w:val="00F14B7A"/>
    <w:rsid w:val="00F16206"/>
    <w:rsid w:val="00F16C33"/>
    <w:rsid w:val="00F17028"/>
    <w:rsid w:val="00F203F3"/>
    <w:rsid w:val="00F2197F"/>
    <w:rsid w:val="00F307F4"/>
    <w:rsid w:val="00F331C0"/>
    <w:rsid w:val="00F34B13"/>
    <w:rsid w:val="00F414DF"/>
    <w:rsid w:val="00F41797"/>
    <w:rsid w:val="00F4338C"/>
    <w:rsid w:val="00F45269"/>
    <w:rsid w:val="00F471FB"/>
    <w:rsid w:val="00F530C6"/>
    <w:rsid w:val="00F56A1A"/>
    <w:rsid w:val="00F56E21"/>
    <w:rsid w:val="00F57A73"/>
    <w:rsid w:val="00F57B06"/>
    <w:rsid w:val="00F60DB3"/>
    <w:rsid w:val="00F64771"/>
    <w:rsid w:val="00F653E5"/>
    <w:rsid w:val="00F67AA7"/>
    <w:rsid w:val="00F71212"/>
    <w:rsid w:val="00F7236E"/>
    <w:rsid w:val="00F728B8"/>
    <w:rsid w:val="00F737AD"/>
    <w:rsid w:val="00F7526F"/>
    <w:rsid w:val="00F75C39"/>
    <w:rsid w:val="00F80A02"/>
    <w:rsid w:val="00F81F76"/>
    <w:rsid w:val="00F823B6"/>
    <w:rsid w:val="00F8627B"/>
    <w:rsid w:val="00F94366"/>
    <w:rsid w:val="00FA0EF2"/>
    <w:rsid w:val="00FA130E"/>
    <w:rsid w:val="00FA3D51"/>
    <w:rsid w:val="00FA59F2"/>
    <w:rsid w:val="00FA70DB"/>
    <w:rsid w:val="00FA7ABF"/>
    <w:rsid w:val="00FB02CC"/>
    <w:rsid w:val="00FB44ED"/>
    <w:rsid w:val="00FB51A3"/>
    <w:rsid w:val="00FB697A"/>
    <w:rsid w:val="00FC14DB"/>
    <w:rsid w:val="00FC56C0"/>
    <w:rsid w:val="00FC6F05"/>
    <w:rsid w:val="00FD14B4"/>
    <w:rsid w:val="00FD2857"/>
    <w:rsid w:val="00FD3CD0"/>
    <w:rsid w:val="00FD7DE2"/>
    <w:rsid w:val="00FE21E6"/>
    <w:rsid w:val="00FE2C11"/>
    <w:rsid w:val="00FE2F30"/>
    <w:rsid w:val="00FE3200"/>
    <w:rsid w:val="00FE4C46"/>
    <w:rsid w:val="00FE771D"/>
    <w:rsid w:val="00FF0A6F"/>
    <w:rsid w:val="00FF1613"/>
    <w:rsid w:val="00FF34E4"/>
    <w:rsid w:val="00FF55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22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0149"/>
    <w:pPr>
      <w:spacing w:after="180" w:line="264" w:lineRule="auto"/>
    </w:pPr>
    <w:rPr>
      <w:rFonts w:ascii="Calibri" w:hAnsi="Calibri"/>
      <w:sz w:val="22"/>
      <w:lang w:val="en-CA" w:eastAsia="ja-JP"/>
    </w:rPr>
  </w:style>
  <w:style w:type="paragraph" w:styleId="Heading1">
    <w:name w:val="heading 1"/>
    <w:basedOn w:val="Normal"/>
    <w:next w:val="Normal"/>
    <w:link w:val="Heading1Char"/>
    <w:uiPriority w:val="9"/>
    <w:unhideWhenUsed/>
    <w:qFormat/>
    <w:rsid w:val="00A9777E"/>
    <w:pPr>
      <w:spacing w:before="300" w:after="80" w:line="240" w:lineRule="auto"/>
      <w:outlineLvl w:val="0"/>
    </w:pPr>
    <w:rPr>
      <w:rFonts w:ascii="Arial" w:hAnsi="Arial"/>
      <w:caps/>
      <w:color w:val="775F55" w:themeColor="text2"/>
      <w:sz w:val="36"/>
      <w:szCs w:val="32"/>
    </w:rPr>
  </w:style>
  <w:style w:type="paragraph" w:styleId="Heading2">
    <w:name w:val="heading 2"/>
    <w:basedOn w:val="Heading1"/>
    <w:next w:val="Normal"/>
    <w:link w:val="Heading2Char"/>
    <w:uiPriority w:val="9"/>
    <w:unhideWhenUsed/>
    <w:qFormat/>
    <w:rsid w:val="005117EE"/>
    <w:pPr>
      <w:spacing w:before="240"/>
      <w:outlineLvl w:val="1"/>
    </w:pPr>
    <w:rPr>
      <w:b/>
      <w:caps w:val="0"/>
      <w:color w:val="005798"/>
      <w:spacing w:val="20"/>
      <w:sz w:val="28"/>
      <w:szCs w:val="28"/>
    </w:rPr>
  </w:style>
  <w:style w:type="paragraph" w:styleId="Heading3">
    <w:name w:val="heading 3"/>
    <w:basedOn w:val="Heading2"/>
    <w:next w:val="Normal"/>
    <w:link w:val="Heading3Char"/>
    <w:uiPriority w:val="9"/>
    <w:unhideWhenUsed/>
    <w:qFormat/>
    <w:rsid w:val="005B0051"/>
    <w:pPr>
      <w:spacing w:after="60"/>
      <w:outlineLvl w:val="2"/>
    </w:pPr>
    <w:rPr>
      <w:color w:val="775F55" w:themeColor="text2"/>
      <w:spacing w:val="10"/>
      <w:sz w:val="24"/>
      <w:szCs w:val="24"/>
    </w:rPr>
  </w:style>
  <w:style w:type="paragraph" w:styleId="Heading4">
    <w:name w:val="heading 4"/>
    <w:basedOn w:val="Normal"/>
    <w:next w:val="Normal"/>
    <w:link w:val="Heading4Char"/>
    <w:uiPriority w:val="9"/>
    <w:unhideWhenUsed/>
    <w:qFormat/>
    <w:pPr>
      <w:spacing w:before="240" w:after="0"/>
      <w:outlineLvl w:val="3"/>
    </w:pPr>
    <w:rPr>
      <w:caps/>
      <w:spacing w:val="14"/>
      <w:szCs w:val="22"/>
    </w:rPr>
  </w:style>
  <w:style w:type="paragraph" w:styleId="Heading5">
    <w:name w:val="heading 5"/>
    <w:basedOn w:val="Normal"/>
    <w:next w:val="Normal"/>
    <w:link w:val="Heading5Char"/>
    <w:uiPriority w:val="9"/>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77E"/>
    <w:rPr>
      <w:rFonts w:ascii="Arial" w:hAnsi="Arial"/>
      <w:caps/>
      <w:color w:val="775F55" w:themeColor="text2"/>
      <w:sz w:val="36"/>
      <w:szCs w:val="32"/>
      <w:lang w:eastAsia="ja-JP"/>
    </w:rPr>
  </w:style>
  <w:style w:type="character" w:customStyle="1" w:styleId="Heading2Char">
    <w:name w:val="Heading 2 Char"/>
    <w:basedOn w:val="DefaultParagraphFont"/>
    <w:link w:val="Heading2"/>
    <w:uiPriority w:val="9"/>
    <w:rsid w:val="005117EE"/>
    <w:rPr>
      <w:rFonts w:ascii="Arial" w:hAnsi="Arial"/>
      <w:b/>
      <w:color w:val="005798"/>
      <w:spacing w:val="20"/>
      <w:sz w:val="28"/>
      <w:szCs w:val="28"/>
      <w:lang w:eastAsia="ja-JP"/>
    </w:rPr>
  </w:style>
  <w:style w:type="character" w:customStyle="1" w:styleId="Heading3Char">
    <w:name w:val="Heading 3 Char"/>
    <w:basedOn w:val="DefaultParagraphFont"/>
    <w:link w:val="Heading3"/>
    <w:uiPriority w:val="9"/>
    <w:rsid w:val="005B0051"/>
    <w:rPr>
      <w:rFonts w:ascii="Arial" w:hAnsi="Arial"/>
      <w:b/>
      <w:color w:val="775F55" w:themeColor="text2"/>
      <w:spacing w:val="10"/>
      <w:sz w:val="24"/>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4F53BF"/>
    <w:pPr>
      <w:pBdr>
        <w:top w:val="double" w:sz="12" w:space="10" w:color="943634"/>
        <w:left w:val="double" w:sz="12" w:space="10" w:color="943634"/>
        <w:bottom w:val="double" w:sz="12" w:space="10" w:color="943634"/>
        <w:right w:val="double" w:sz="12" w:space="10" w:color="943634"/>
      </w:pBdr>
      <w:shd w:val="clear" w:color="auto" w:fill="FFFFFF" w:themeFill="background1"/>
      <w:spacing w:before="300" w:after="300"/>
      <w:ind w:left="288" w:right="288"/>
      <w:contextualSpacing/>
    </w:pPr>
    <w:rPr>
      <w:b/>
    </w:rPr>
  </w:style>
  <w:style w:type="character" w:customStyle="1" w:styleId="IntenseQuoteChar">
    <w:name w:val="Intense Quote Char"/>
    <w:basedOn w:val="DefaultParagraphFont"/>
    <w:link w:val="IntenseQuote"/>
    <w:uiPriority w:val="30"/>
    <w:rsid w:val="004F53BF"/>
    <w:rPr>
      <w:rFonts w:ascii="Calibri" w:hAnsi="Calibri"/>
      <w:b/>
      <w:sz w:val="22"/>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link w:val="TitleChar"/>
    <w:uiPriority w:val="10"/>
    <w:qFormat/>
    <w:rsid w:val="004A65AD"/>
    <w:pPr>
      <w:spacing w:after="0" w:line="240" w:lineRule="auto"/>
    </w:pPr>
    <w:rPr>
      <w:rFonts w:ascii="Arial" w:hAnsi="Arial"/>
      <w:color w:val="775F55" w:themeColor="text2"/>
      <w:sz w:val="48"/>
      <w:szCs w:val="48"/>
      <w:lang w:eastAsia="ja-JP"/>
    </w:rPr>
  </w:style>
  <w:style w:type="character" w:customStyle="1" w:styleId="TitleChar">
    <w:name w:val="Title Char"/>
    <w:basedOn w:val="DefaultParagraphFont"/>
    <w:link w:val="Title"/>
    <w:uiPriority w:val="10"/>
    <w:rsid w:val="004A65AD"/>
    <w:rPr>
      <w:rFonts w:ascii="Arial" w:hAnsi="Arial"/>
      <w:color w:val="775F55" w:themeColor="text2"/>
      <w:sz w:val="48"/>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39"/>
    <w:unhideWhenUsed/>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TOCHeading">
    <w:name w:val="TOC Heading"/>
    <w:basedOn w:val="Heading1"/>
    <w:next w:val="Normal"/>
    <w:uiPriority w:val="39"/>
    <w:semiHidden/>
    <w:unhideWhenUsed/>
    <w:qFormat/>
    <w:rsid w:val="008E675F"/>
    <w:pPr>
      <w:keepNext/>
      <w:keepLines/>
      <w:spacing w:before="480" w:after="0" w:line="276" w:lineRule="auto"/>
      <w:outlineLvl w:val="9"/>
    </w:pPr>
    <w:rPr>
      <w:rFonts w:eastAsiaTheme="majorEastAsia" w:cstheme="majorBidi"/>
      <w:b/>
      <w:bCs/>
      <w:caps w:val="0"/>
      <w:color w:val="548AB7" w:themeColor="accent1" w:themeShade="BF"/>
      <w:kern w:val="0"/>
      <w:sz w:val="28"/>
      <w:szCs w:val="28"/>
      <w14:ligatures w14:val="none"/>
    </w:rPr>
  </w:style>
  <w:style w:type="table" w:styleId="LightList-Accent1">
    <w:name w:val="Light List Accent 1"/>
    <w:basedOn w:val="TableNormal"/>
    <w:uiPriority w:val="41"/>
    <w:rsid w:val="00944311"/>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paragraph" w:customStyle="1" w:styleId="Default">
    <w:name w:val="Default"/>
    <w:rsid w:val="00411493"/>
    <w:pPr>
      <w:autoSpaceDE w:val="0"/>
      <w:autoSpaceDN w:val="0"/>
      <w:adjustRightInd w:val="0"/>
      <w:spacing w:after="0" w:line="240" w:lineRule="auto"/>
    </w:pPr>
    <w:rPr>
      <w:rFonts w:ascii="Calibri" w:hAnsi="Calibri" w:cs="Calibri"/>
      <w:color w:val="000000"/>
      <w:kern w:val="0"/>
      <w:sz w:val="24"/>
      <w:szCs w:val="24"/>
      <w:lang w:val="en-CA"/>
      <w14:ligatures w14:val="none"/>
    </w:rPr>
  </w:style>
  <w:style w:type="character" w:styleId="CommentReference">
    <w:name w:val="annotation reference"/>
    <w:basedOn w:val="DefaultParagraphFont"/>
    <w:uiPriority w:val="99"/>
    <w:semiHidden/>
    <w:unhideWhenUsed/>
    <w:rsid w:val="00FA3D51"/>
    <w:rPr>
      <w:sz w:val="16"/>
      <w:szCs w:val="16"/>
    </w:rPr>
  </w:style>
  <w:style w:type="paragraph" w:styleId="CommentText">
    <w:name w:val="annotation text"/>
    <w:basedOn w:val="Normal"/>
    <w:link w:val="CommentTextChar"/>
    <w:uiPriority w:val="99"/>
    <w:unhideWhenUsed/>
    <w:rsid w:val="00FA3D51"/>
    <w:pPr>
      <w:spacing w:line="240" w:lineRule="auto"/>
    </w:pPr>
    <w:rPr>
      <w:sz w:val="20"/>
    </w:rPr>
  </w:style>
  <w:style w:type="character" w:customStyle="1" w:styleId="CommentTextChar">
    <w:name w:val="Comment Text Char"/>
    <w:basedOn w:val="DefaultParagraphFont"/>
    <w:link w:val="CommentText"/>
    <w:uiPriority w:val="99"/>
    <w:rsid w:val="00FA3D51"/>
    <w:rPr>
      <w:rFonts w:ascii="Calibri" w:hAnsi="Calibri"/>
      <w:sz w:val="20"/>
      <w:lang w:val="en-CA" w:eastAsia="ja-JP"/>
    </w:rPr>
  </w:style>
  <w:style w:type="paragraph" w:styleId="CommentSubject">
    <w:name w:val="annotation subject"/>
    <w:basedOn w:val="CommentText"/>
    <w:next w:val="CommentText"/>
    <w:link w:val="CommentSubjectChar"/>
    <w:uiPriority w:val="99"/>
    <w:semiHidden/>
    <w:unhideWhenUsed/>
    <w:rsid w:val="00FA3D51"/>
    <w:rPr>
      <w:b/>
      <w:bCs/>
    </w:rPr>
  </w:style>
  <w:style w:type="character" w:customStyle="1" w:styleId="CommentSubjectChar">
    <w:name w:val="Comment Subject Char"/>
    <w:basedOn w:val="CommentTextChar"/>
    <w:link w:val="CommentSubject"/>
    <w:uiPriority w:val="99"/>
    <w:semiHidden/>
    <w:rsid w:val="00FA3D51"/>
    <w:rPr>
      <w:rFonts w:ascii="Calibri" w:hAnsi="Calibri"/>
      <w:b/>
      <w:bCs/>
      <w:sz w:val="20"/>
      <w:lang w:val="en-CA" w:eastAsia="ja-JP"/>
    </w:rPr>
  </w:style>
  <w:style w:type="table" w:customStyle="1" w:styleId="TableGrid1">
    <w:name w:val="Table Grid1"/>
    <w:basedOn w:val="TableNormal"/>
    <w:next w:val="TableGrid"/>
    <w:uiPriority w:val="59"/>
    <w:rsid w:val="0098300F"/>
    <w:pPr>
      <w:spacing w:after="0" w:line="240" w:lineRule="auto"/>
    </w:pPr>
    <w:rPr>
      <w:rFonts w:cstheme="minorBidi"/>
      <w:kern w:val="0"/>
      <w:sz w:val="22"/>
      <w:szCs w:val="22"/>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40"/>
    <w:rsid w:val="002525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0F3B06"/>
    <w:rPr>
      <w:color w:val="605E5C"/>
      <w:shd w:val="clear" w:color="auto" w:fill="E1DFDD"/>
    </w:rPr>
  </w:style>
  <w:style w:type="paragraph" w:styleId="Revision">
    <w:name w:val="Revision"/>
    <w:hidden/>
    <w:uiPriority w:val="99"/>
    <w:semiHidden/>
    <w:rsid w:val="00761629"/>
    <w:pPr>
      <w:spacing w:after="0" w:line="240" w:lineRule="auto"/>
    </w:pPr>
    <w:rPr>
      <w:rFonts w:ascii="Calibri" w:hAnsi="Calibri"/>
      <w:sz w:val="22"/>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5135">
      <w:bodyDiv w:val="1"/>
      <w:marLeft w:val="0"/>
      <w:marRight w:val="0"/>
      <w:marTop w:val="0"/>
      <w:marBottom w:val="0"/>
      <w:divBdr>
        <w:top w:val="none" w:sz="0" w:space="0" w:color="auto"/>
        <w:left w:val="none" w:sz="0" w:space="0" w:color="auto"/>
        <w:bottom w:val="none" w:sz="0" w:space="0" w:color="auto"/>
        <w:right w:val="none" w:sz="0" w:space="0" w:color="auto"/>
      </w:divBdr>
    </w:div>
    <w:div w:id="199174361">
      <w:bodyDiv w:val="1"/>
      <w:marLeft w:val="0"/>
      <w:marRight w:val="0"/>
      <w:marTop w:val="0"/>
      <w:marBottom w:val="0"/>
      <w:divBdr>
        <w:top w:val="none" w:sz="0" w:space="0" w:color="auto"/>
        <w:left w:val="none" w:sz="0" w:space="0" w:color="auto"/>
        <w:bottom w:val="none" w:sz="0" w:space="0" w:color="auto"/>
        <w:right w:val="none" w:sz="0" w:space="0" w:color="auto"/>
      </w:divBdr>
    </w:div>
    <w:div w:id="357201810">
      <w:bodyDiv w:val="1"/>
      <w:marLeft w:val="0"/>
      <w:marRight w:val="0"/>
      <w:marTop w:val="0"/>
      <w:marBottom w:val="0"/>
      <w:divBdr>
        <w:top w:val="none" w:sz="0" w:space="0" w:color="auto"/>
        <w:left w:val="none" w:sz="0" w:space="0" w:color="auto"/>
        <w:bottom w:val="none" w:sz="0" w:space="0" w:color="auto"/>
        <w:right w:val="none" w:sz="0" w:space="0" w:color="auto"/>
      </w:divBdr>
    </w:div>
    <w:div w:id="440683619">
      <w:bodyDiv w:val="1"/>
      <w:marLeft w:val="0"/>
      <w:marRight w:val="0"/>
      <w:marTop w:val="0"/>
      <w:marBottom w:val="0"/>
      <w:divBdr>
        <w:top w:val="none" w:sz="0" w:space="0" w:color="auto"/>
        <w:left w:val="none" w:sz="0" w:space="0" w:color="auto"/>
        <w:bottom w:val="none" w:sz="0" w:space="0" w:color="auto"/>
        <w:right w:val="none" w:sz="0" w:space="0" w:color="auto"/>
      </w:divBdr>
    </w:div>
    <w:div w:id="654145210">
      <w:bodyDiv w:val="1"/>
      <w:marLeft w:val="0"/>
      <w:marRight w:val="0"/>
      <w:marTop w:val="0"/>
      <w:marBottom w:val="0"/>
      <w:divBdr>
        <w:top w:val="none" w:sz="0" w:space="0" w:color="auto"/>
        <w:left w:val="none" w:sz="0" w:space="0" w:color="auto"/>
        <w:bottom w:val="none" w:sz="0" w:space="0" w:color="auto"/>
        <w:right w:val="none" w:sz="0" w:space="0" w:color="auto"/>
      </w:divBdr>
    </w:div>
    <w:div w:id="664554293">
      <w:bodyDiv w:val="1"/>
      <w:marLeft w:val="0"/>
      <w:marRight w:val="0"/>
      <w:marTop w:val="0"/>
      <w:marBottom w:val="0"/>
      <w:divBdr>
        <w:top w:val="none" w:sz="0" w:space="0" w:color="auto"/>
        <w:left w:val="none" w:sz="0" w:space="0" w:color="auto"/>
        <w:bottom w:val="none" w:sz="0" w:space="0" w:color="auto"/>
        <w:right w:val="none" w:sz="0" w:space="0" w:color="auto"/>
      </w:divBdr>
    </w:div>
    <w:div w:id="668675021">
      <w:bodyDiv w:val="1"/>
      <w:marLeft w:val="0"/>
      <w:marRight w:val="0"/>
      <w:marTop w:val="0"/>
      <w:marBottom w:val="0"/>
      <w:divBdr>
        <w:top w:val="none" w:sz="0" w:space="0" w:color="auto"/>
        <w:left w:val="none" w:sz="0" w:space="0" w:color="auto"/>
        <w:bottom w:val="none" w:sz="0" w:space="0" w:color="auto"/>
        <w:right w:val="none" w:sz="0" w:space="0" w:color="auto"/>
      </w:divBdr>
    </w:div>
    <w:div w:id="746927275">
      <w:bodyDiv w:val="1"/>
      <w:marLeft w:val="0"/>
      <w:marRight w:val="0"/>
      <w:marTop w:val="0"/>
      <w:marBottom w:val="0"/>
      <w:divBdr>
        <w:top w:val="none" w:sz="0" w:space="0" w:color="auto"/>
        <w:left w:val="none" w:sz="0" w:space="0" w:color="auto"/>
        <w:bottom w:val="none" w:sz="0" w:space="0" w:color="auto"/>
        <w:right w:val="none" w:sz="0" w:space="0" w:color="auto"/>
      </w:divBdr>
    </w:div>
    <w:div w:id="769591770">
      <w:bodyDiv w:val="1"/>
      <w:marLeft w:val="0"/>
      <w:marRight w:val="0"/>
      <w:marTop w:val="0"/>
      <w:marBottom w:val="0"/>
      <w:divBdr>
        <w:top w:val="none" w:sz="0" w:space="0" w:color="auto"/>
        <w:left w:val="none" w:sz="0" w:space="0" w:color="auto"/>
        <w:bottom w:val="none" w:sz="0" w:space="0" w:color="auto"/>
        <w:right w:val="none" w:sz="0" w:space="0" w:color="auto"/>
      </w:divBdr>
    </w:div>
    <w:div w:id="815756023">
      <w:bodyDiv w:val="1"/>
      <w:marLeft w:val="0"/>
      <w:marRight w:val="0"/>
      <w:marTop w:val="0"/>
      <w:marBottom w:val="0"/>
      <w:divBdr>
        <w:top w:val="none" w:sz="0" w:space="0" w:color="auto"/>
        <w:left w:val="none" w:sz="0" w:space="0" w:color="auto"/>
        <w:bottom w:val="none" w:sz="0" w:space="0" w:color="auto"/>
        <w:right w:val="none" w:sz="0" w:space="0" w:color="auto"/>
      </w:divBdr>
    </w:div>
    <w:div w:id="825390330">
      <w:bodyDiv w:val="1"/>
      <w:marLeft w:val="0"/>
      <w:marRight w:val="0"/>
      <w:marTop w:val="0"/>
      <w:marBottom w:val="0"/>
      <w:divBdr>
        <w:top w:val="none" w:sz="0" w:space="0" w:color="auto"/>
        <w:left w:val="none" w:sz="0" w:space="0" w:color="auto"/>
        <w:bottom w:val="none" w:sz="0" w:space="0" w:color="auto"/>
        <w:right w:val="none" w:sz="0" w:space="0" w:color="auto"/>
      </w:divBdr>
    </w:div>
    <w:div w:id="926695919">
      <w:bodyDiv w:val="1"/>
      <w:marLeft w:val="0"/>
      <w:marRight w:val="0"/>
      <w:marTop w:val="0"/>
      <w:marBottom w:val="0"/>
      <w:divBdr>
        <w:top w:val="none" w:sz="0" w:space="0" w:color="auto"/>
        <w:left w:val="none" w:sz="0" w:space="0" w:color="auto"/>
        <w:bottom w:val="none" w:sz="0" w:space="0" w:color="auto"/>
        <w:right w:val="none" w:sz="0" w:space="0" w:color="auto"/>
      </w:divBdr>
    </w:div>
    <w:div w:id="961568593">
      <w:bodyDiv w:val="1"/>
      <w:marLeft w:val="0"/>
      <w:marRight w:val="0"/>
      <w:marTop w:val="0"/>
      <w:marBottom w:val="0"/>
      <w:divBdr>
        <w:top w:val="none" w:sz="0" w:space="0" w:color="auto"/>
        <w:left w:val="none" w:sz="0" w:space="0" w:color="auto"/>
        <w:bottom w:val="none" w:sz="0" w:space="0" w:color="auto"/>
        <w:right w:val="none" w:sz="0" w:space="0" w:color="auto"/>
      </w:divBdr>
    </w:div>
    <w:div w:id="1013923014">
      <w:bodyDiv w:val="1"/>
      <w:marLeft w:val="0"/>
      <w:marRight w:val="0"/>
      <w:marTop w:val="0"/>
      <w:marBottom w:val="0"/>
      <w:divBdr>
        <w:top w:val="none" w:sz="0" w:space="0" w:color="auto"/>
        <w:left w:val="none" w:sz="0" w:space="0" w:color="auto"/>
        <w:bottom w:val="none" w:sz="0" w:space="0" w:color="auto"/>
        <w:right w:val="none" w:sz="0" w:space="0" w:color="auto"/>
      </w:divBdr>
    </w:div>
    <w:div w:id="1186754041">
      <w:bodyDiv w:val="1"/>
      <w:marLeft w:val="0"/>
      <w:marRight w:val="0"/>
      <w:marTop w:val="0"/>
      <w:marBottom w:val="0"/>
      <w:divBdr>
        <w:top w:val="none" w:sz="0" w:space="0" w:color="auto"/>
        <w:left w:val="none" w:sz="0" w:space="0" w:color="auto"/>
        <w:bottom w:val="none" w:sz="0" w:space="0" w:color="auto"/>
        <w:right w:val="none" w:sz="0" w:space="0" w:color="auto"/>
      </w:divBdr>
    </w:div>
    <w:div w:id="1319729209">
      <w:bodyDiv w:val="1"/>
      <w:marLeft w:val="0"/>
      <w:marRight w:val="0"/>
      <w:marTop w:val="0"/>
      <w:marBottom w:val="0"/>
      <w:divBdr>
        <w:top w:val="none" w:sz="0" w:space="0" w:color="auto"/>
        <w:left w:val="none" w:sz="0" w:space="0" w:color="auto"/>
        <w:bottom w:val="none" w:sz="0" w:space="0" w:color="auto"/>
        <w:right w:val="none" w:sz="0" w:space="0" w:color="auto"/>
      </w:divBdr>
    </w:div>
    <w:div w:id="1423722285">
      <w:bodyDiv w:val="1"/>
      <w:marLeft w:val="0"/>
      <w:marRight w:val="0"/>
      <w:marTop w:val="0"/>
      <w:marBottom w:val="0"/>
      <w:divBdr>
        <w:top w:val="none" w:sz="0" w:space="0" w:color="auto"/>
        <w:left w:val="none" w:sz="0" w:space="0" w:color="auto"/>
        <w:bottom w:val="none" w:sz="0" w:space="0" w:color="auto"/>
        <w:right w:val="none" w:sz="0" w:space="0" w:color="auto"/>
      </w:divBdr>
    </w:div>
    <w:div w:id="1476796479">
      <w:bodyDiv w:val="1"/>
      <w:marLeft w:val="0"/>
      <w:marRight w:val="0"/>
      <w:marTop w:val="0"/>
      <w:marBottom w:val="0"/>
      <w:divBdr>
        <w:top w:val="none" w:sz="0" w:space="0" w:color="auto"/>
        <w:left w:val="none" w:sz="0" w:space="0" w:color="auto"/>
        <w:bottom w:val="none" w:sz="0" w:space="0" w:color="auto"/>
        <w:right w:val="none" w:sz="0" w:space="0" w:color="auto"/>
      </w:divBdr>
    </w:div>
    <w:div w:id="1500198971">
      <w:bodyDiv w:val="1"/>
      <w:marLeft w:val="0"/>
      <w:marRight w:val="0"/>
      <w:marTop w:val="0"/>
      <w:marBottom w:val="0"/>
      <w:divBdr>
        <w:top w:val="none" w:sz="0" w:space="0" w:color="auto"/>
        <w:left w:val="none" w:sz="0" w:space="0" w:color="auto"/>
        <w:bottom w:val="none" w:sz="0" w:space="0" w:color="auto"/>
        <w:right w:val="none" w:sz="0" w:space="0" w:color="auto"/>
      </w:divBdr>
    </w:div>
    <w:div w:id="1541669675">
      <w:bodyDiv w:val="1"/>
      <w:marLeft w:val="0"/>
      <w:marRight w:val="0"/>
      <w:marTop w:val="0"/>
      <w:marBottom w:val="0"/>
      <w:divBdr>
        <w:top w:val="none" w:sz="0" w:space="0" w:color="auto"/>
        <w:left w:val="none" w:sz="0" w:space="0" w:color="auto"/>
        <w:bottom w:val="none" w:sz="0" w:space="0" w:color="auto"/>
        <w:right w:val="none" w:sz="0" w:space="0" w:color="auto"/>
      </w:divBdr>
    </w:div>
    <w:div w:id="1543907519">
      <w:bodyDiv w:val="1"/>
      <w:marLeft w:val="0"/>
      <w:marRight w:val="0"/>
      <w:marTop w:val="0"/>
      <w:marBottom w:val="0"/>
      <w:divBdr>
        <w:top w:val="none" w:sz="0" w:space="0" w:color="auto"/>
        <w:left w:val="none" w:sz="0" w:space="0" w:color="auto"/>
        <w:bottom w:val="none" w:sz="0" w:space="0" w:color="auto"/>
        <w:right w:val="none" w:sz="0" w:space="0" w:color="auto"/>
      </w:divBdr>
    </w:div>
    <w:div w:id="1635328675">
      <w:bodyDiv w:val="1"/>
      <w:marLeft w:val="0"/>
      <w:marRight w:val="0"/>
      <w:marTop w:val="0"/>
      <w:marBottom w:val="0"/>
      <w:divBdr>
        <w:top w:val="none" w:sz="0" w:space="0" w:color="auto"/>
        <w:left w:val="none" w:sz="0" w:space="0" w:color="auto"/>
        <w:bottom w:val="none" w:sz="0" w:space="0" w:color="auto"/>
        <w:right w:val="none" w:sz="0" w:space="0" w:color="auto"/>
      </w:divBdr>
    </w:div>
    <w:div w:id="1664622033">
      <w:bodyDiv w:val="1"/>
      <w:marLeft w:val="0"/>
      <w:marRight w:val="0"/>
      <w:marTop w:val="0"/>
      <w:marBottom w:val="0"/>
      <w:divBdr>
        <w:top w:val="none" w:sz="0" w:space="0" w:color="auto"/>
        <w:left w:val="none" w:sz="0" w:space="0" w:color="auto"/>
        <w:bottom w:val="none" w:sz="0" w:space="0" w:color="auto"/>
        <w:right w:val="none" w:sz="0" w:space="0" w:color="auto"/>
      </w:divBdr>
    </w:div>
    <w:div w:id="1671131614">
      <w:bodyDiv w:val="1"/>
      <w:marLeft w:val="0"/>
      <w:marRight w:val="0"/>
      <w:marTop w:val="0"/>
      <w:marBottom w:val="0"/>
      <w:divBdr>
        <w:top w:val="none" w:sz="0" w:space="0" w:color="auto"/>
        <w:left w:val="none" w:sz="0" w:space="0" w:color="auto"/>
        <w:bottom w:val="none" w:sz="0" w:space="0" w:color="auto"/>
        <w:right w:val="none" w:sz="0" w:space="0" w:color="auto"/>
      </w:divBdr>
    </w:div>
    <w:div w:id="1672610161">
      <w:bodyDiv w:val="1"/>
      <w:marLeft w:val="0"/>
      <w:marRight w:val="0"/>
      <w:marTop w:val="0"/>
      <w:marBottom w:val="0"/>
      <w:divBdr>
        <w:top w:val="none" w:sz="0" w:space="0" w:color="auto"/>
        <w:left w:val="none" w:sz="0" w:space="0" w:color="auto"/>
        <w:bottom w:val="none" w:sz="0" w:space="0" w:color="auto"/>
        <w:right w:val="none" w:sz="0" w:space="0" w:color="auto"/>
      </w:divBdr>
    </w:div>
    <w:div w:id="1780566023">
      <w:bodyDiv w:val="1"/>
      <w:marLeft w:val="0"/>
      <w:marRight w:val="0"/>
      <w:marTop w:val="0"/>
      <w:marBottom w:val="0"/>
      <w:divBdr>
        <w:top w:val="none" w:sz="0" w:space="0" w:color="auto"/>
        <w:left w:val="none" w:sz="0" w:space="0" w:color="auto"/>
        <w:bottom w:val="none" w:sz="0" w:space="0" w:color="auto"/>
        <w:right w:val="none" w:sz="0" w:space="0" w:color="auto"/>
      </w:divBdr>
    </w:div>
    <w:div w:id="1808666938">
      <w:bodyDiv w:val="1"/>
      <w:marLeft w:val="0"/>
      <w:marRight w:val="0"/>
      <w:marTop w:val="0"/>
      <w:marBottom w:val="0"/>
      <w:divBdr>
        <w:top w:val="none" w:sz="0" w:space="0" w:color="auto"/>
        <w:left w:val="none" w:sz="0" w:space="0" w:color="auto"/>
        <w:bottom w:val="none" w:sz="0" w:space="0" w:color="auto"/>
        <w:right w:val="none" w:sz="0" w:space="0" w:color="auto"/>
      </w:divBdr>
    </w:div>
    <w:div w:id="1957639840">
      <w:bodyDiv w:val="1"/>
      <w:marLeft w:val="0"/>
      <w:marRight w:val="0"/>
      <w:marTop w:val="0"/>
      <w:marBottom w:val="0"/>
      <w:divBdr>
        <w:top w:val="none" w:sz="0" w:space="0" w:color="auto"/>
        <w:left w:val="none" w:sz="0" w:space="0" w:color="auto"/>
        <w:bottom w:val="none" w:sz="0" w:space="0" w:color="auto"/>
        <w:right w:val="none" w:sz="0" w:space="0" w:color="auto"/>
      </w:divBdr>
    </w:div>
    <w:div w:id="1984431709">
      <w:bodyDiv w:val="1"/>
      <w:marLeft w:val="0"/>
      <w:marRight w:val="0"/>
      <w:marTop w:val="0"/>
      <w:marBottom w:val="0"/>
      <w:divBdr>
        <w:top w:val="none" w:sz="0" w:space="0" w:color="auto"/>
        <w:left w:val="none" w:sz="0" w:space="0" w:color="auto"/>
        <w:bottom w:val="none" w:sz="0" w:space="0" w:color="auto"/>
        <w:right w:val="none" w:sz="0" w:space="0" w:color="auto"/>
      </w:divBdr>
    </w:div>
    <w:div w:id="2029017494">
      <w:bodyDiv w:val="1"/>
      <w:marLeft w:val="0"/>
      <w:marRight w:val="0"/>
      <w:marTop w:val="0"/>
      <w:marBottom w:val="0"/>
      <w:divBdr>
        <w:top w:val="none" w:sz="0" w:space="0" w:color="auto"/>
        <w:left w:val="none" w:sz="0" w:space="0" w:color="auto"/>
        <w:bottom w:val="none" w:sz="0" w:space="0" w:color="auto"/>
        <w:right w:val="none" w:sz="0" w:space="0" w:color="auto"/>
      </w:divBdr>
      <w:divsChild>
        <w:div w:id="1778984319">
          <w:marLeft w:val="547"/>
          <w:marRight w:val="0"/>
          <w:marTop w:val="96"/>
          <w:marBottom w:val="0"/>
          <w:divBdr>
            <w:top w:val="none" w:sz="0" w:space="0" w:color="auto"/>
            <w:left w:val="none" w:sz="0" w:space="0" w:color="auto"/>
            <w:bottom w:val="none" w:sz="0" w:space="0" w:color="auto"/>
            <w:right w:val="none" w:sz="0" w:space="0" w:color="auto"/>
          </w:divBdr>
        </w:div>
        <w:div w:id="202055964">
          <w:marLeft w:val="547"/>
          <w:marRight w:val="0"/>
          <w:marTop w:val="96"/>
          <w:marBottom w:val="0"/>
          <w:divBdr>
            <w:top w:val="none" w:sz="0" w:space="0" w:color="auto"/>
            <w:left w:val="none" w:sz="0" w:space="0" w:color="auto"/>
            <w:bottom w:val="none" w:sz="0" w:space="0" w:color="auto"/>
            <w:right w:val="none" w:sz="0" w:space="0" w:color="auto"/>
          </w:divBdr>
        </w:div>
        <w:div w:id="32122223">
          <w:marLeft w:val="547"/>
          <w:marRight w:val="0"/>
          <w:marTop w:val="96"/>
          <w:marBottom w:val="0"/>
          <w:divBdr>
            <w:top w:val="none" w:sz="0" w:space="0" w:color="auto"/>
            <w:left w:val="none" w:sz="0" w:space="0" w:color="auto"/>
            <w:bottom w:val="none" w:sz="0" w:space="0" w:color="auto"/>
            <w:right w:val="none" w:sz="0" w:space="0" w:color="auto"/>
          </w:divBdr>
        </w:div>
        <w:div w:id="1112359585">
          <w:marLeft w:val="547"/>
          <w:marRight w:val="0"/>
          <w:marTop w:val="96"/>
          <w:marBottom w:val="0"/>
          <w:divBdr>
            <w:top w:val="none" w:sz="0" w:space="0" w:color="auto"/>
            <w:left w:val="none" w:sz="0" w:space="0" w:color="auto"/>
            <w:bottom w:val="none" w:sz="0" w:space="0" w:color="auto"/>
            <w:right w:val="none" w:sz="0" w:space="0" w:color="auto"/>
          </w:divBdr>
        </w:div>
        <w:div w:id="1880316270">
          <w:marLeft w:val="547"/>
          <w:marRight w:val="0"/>
          <w:marTop w:val="96"/>
          <w:marBottom w:val="0"/>
          <w:divBdr>
            <w:top w:val="none" w:sz="0" w:space="0" w:color="auto"/>
            <w:left w:val="none" w:sz="0" w:space="0" w:color="auto"/>
            <w:bottom w:val="none" w:sz="0" w:space="0" w:color="auto"/>
            <w:right w:val="none" w:sz="0" w:space="0" w:color="auto"/>
          </w:divBdr>
        </w:div>
        <w:div w:id="477578348">
          <w:marLeft w:val="547"/>
          <w:marRight w:val="0"/>
          <w:marTop w:val="96"/>
          <w:marBottom w:val="0"/>
          <w:divBdr>
            <w:top w:val="none" w:sz="0" w:space="0" w:color="auto"/>
            <w:left w:val="none" w:sz="0" w:space="0" w:color="auto"/>
            <w:bottom w:val="none" w:sz="0" w:space="0" w:color="auto"/>
            <w:right w:val="none" w:sz="0" w:space="0" w:color="auto"/>
          </w:divBdr>
        </w:div>
        <w:div w:id="1714384017">
          <w:marLeft w:val="547"/>
          <w:marRight w:val="0"/>
          <w:marTop w:val="96"/>
          <w:marBottom w:val="0"/>
          <w:divBdr>
            <w:top w:val="none" w:sz="0" w:space="0" w:color="auto"/>
            <w:left w:val="none" w:sz="0" w:space="0" w:color="auto"/>
            <w:bottom w:val="none" w:sz="0" w:space="0" w:color="auto"/>
            <w:right w:val="none" w:sz="0" w:space="0" w:color="auto"/>
          </w:divBdr>
        </w:div>
        <w:div w:id="868883046">
          <w:marLeft w:val="547"/>
          <w:marRight w:val="0"/>
          <w:marTop w:val="96"/>
          <w:marBottom w:val="0"/>
          <w:divBdr>
            <w:top w:val="none" w:sz="0" w:space="0" w:color="auto"/>
            <w:left w:val="none" w:sz="0" w:space="0" w:color="auto"/>
            <w:bottom w:val="none" w:sz="0" w:space="0" w:color="auto"/>
            <w:right w:val="none" w:sz="0" w:space="0" w:color="auto"/>
          </w:divBdr>
        </w:div>
        <w:div w:id="146573859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hart" Target="charts/chart3.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fr-CA" b="0" i="0" u="none" baseline="0"/>
              <a:t>Taux d’embauchage des Inuits par exercice financier</a:t>
            </a:r>
          </a:p>
        </c:rich>
      </c:tx>
      <c:overlay val="0"/>
      <c:spPr>
        <a:noFill/>
        <a:ln>
          <a:noFill/>
        </a:ln>
        <a:effectLst/>
      </c:spPr>
    </c:title>
    <c:autoTitleDeleted val="0"/>
    <c:plotArea>
      <c:layout/>
      <c:barChart>
        <c:barDir val="col"/>
        <c:grouping val="stacked"/>
        <c:varyColors val="0"/>
        <c:ser>
          <c:idx val="0"/>
          <c:order val="0"/>
          <c:tx>
            <c:strRef>
              <c:f>Sheet1!$B$1</c:f>
              <c:strCache>
                <c:ptCount val="1"/>
                <c:pt idx="0">
                  <c:v>Vacants</c:v>
                </c:pt>
              </c:strCache>
            </c:strRef>
          </c:tx>
          <c:spPr>
            <a:solidFill>
              <a:schemeClr val="accent1"/>
            </a:solidFill>
            <a:ln>
              <a:noFill/>
            </a:ln>
            <a:effectLst/>
          </c:spPr>
          <c:invertIfNegative val="0"/>
          <c:dLbls>
            <c:dLbl>
              <c:idx val="0"/>
              <c:tx>
                <c:rich>
                  <a:bodyPr/>
                  <a:lstStyle/>
                  <a:p>
                    <a:r>
                      <a:rPr lang="en-US"/>
                      <a:t>32,00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E6-441A-A6E1-CA9A10F4A268}"/>
                </c:ext>
              </c:extLst>
            </c:dLbl>
            <c:dLbl>
              <c:idx val="1"/>
              <c:tx>
                <c:rich>
                  <a:bodyPr/>
                  <a:lstStyle/>
                  <a:p>
                    <a:r>
                      <a:rPr lang="en-US"/>
                      <a:t>31,00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E6-441A-A6E1-CA9A10F4A268}"/>
                </c:ext>
              </c:extLst>
            </c:dLbl>
            <c:dLbl>
              <c:idx val="2"/>
              <c:tx>
                <c:rich>
                  <a:bodyPr/>
                  <a:lstStyle/>
                  <a:p>
                    <a:r>
                      <a:rPr lang="en-US"/>
                      <a:t>48,00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E6-441A-A6E1-CA9A10F4A268}"/>
                </c:ext>
              </c:extLst>
            </c:dLbl>
            <c:dLbl>
              <c:idx val="3"/>
              <c:tx>
                <c:rich>
                  <a:bodyPr/>
                  <a:lstStyle/>
                  <a:p>
                    <a:r>
                      <a:rPr lang="en-US"/>
                      <a:t>46,10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E6-441A-A6E1-CA9A10F4A268}"/>
                </c:ext>
              </c:extLst>
            </c:dLbl>
            <c:dLbl>
              <c:idx val="4"/>
              <c:tx>
                <c:rich>
                  <a:bodyPr/>
                  <a:lstStyle/>
                  <a:p>
                    <a:r>
                      <a:rPr lang="en-US"/>
                      <a:t>42,10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E6-441A-A6E1-CA9A10F4A268}"/>
                </c:ext>
              </c:extLst>
            </c:dLbl>
            <c:dLbl>
              <c:idx val="5"/>
              <c:tx>
                <c:rich>
                  <a:bodyPr/>
                  <a:lstStyle/>
                  <a:p>
                    <a:r>
                      <a:rPr lang="en-US"/>
                      <a:t>65,10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E6-441A-A6E1-CA9A10F4A268}"/>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2013</c:v>
                </c:pt>
                <c:pt idx="1">
                  <c:v>2014</c:v>
                </c:pt>
                <c:pt idx="2">
                  <c:v>2015</c:v>
                </c:pt>
                <c:pt idx="3">
                  <c:v>2016</c:v>
                </c:pt>
                <c:pt idx="4">
                  <c:v>2017</c:v>
                </c:pt>
                <c:pt idx="5">
                  <c:v>2018</c:v>
                </c:pt>
              </c:numCache>
            </c:numRef>
          </c:cat>
          <c:val>
            <c:numRef>
              <c:f>Sheet1!$B$2:$B$8</c:f>
              <c:numCache>
                <c:formatCode>0.00</c:formatCode>
                <c:ptCount val="7"/>
                <c:pt idx="0">
                  <c:v>32</c:v>
                </c:pt>
                <c:pt idx="1">
                  <c:v>31</c:v>
                </c:pt>
                <c:pt idx="2">
                  <c:v>48</c:v>
                </c:pt>
                <c:pt idx="3">
                  <c:v>46.1</c:v>
                </c:pt>
                <c:pt idx="4">
                  <c:v>42.1</c:v>
                </c:pt>
                <c:pt idx="5">
                  <c:v>65.099999999999994</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wpc="http://schemas.microsoft.com/office/word/2010/wordprocessingCanvas">
            <c:ext xmlns:c16="http://schemas.microsoft.com/office/drawing/2014/chart" uri="{C3380CC4-5D6E-409C-BE32-E72D297353CC}">
              <c16:uniqueId val="{00000000-C25F-4BEB-A160-89D782EB5AAB}"/>
            </c:ext>
          </c:extLst>
        </c:ser>
        <c:ser>
          <c:idx val="1"/>
          <c:order val="1"/>
          <c:tx>
            <c:strRef>
              <c:f>Sheet1!$C$1</c:f>
              <c:strCache>
                <c:ptCount val="1"/>
                <c:pt idx="0">
                  <c:v>Non-Inuits</c:v>
                </c:pt>
              </c:strCache>
            </c:strRef>
          </c:tx>
          <c:spPr>
            <a:solidFill>
              <a:schemeClr val="accent2"/>
            </a:solidFill>
            <a:ln>
              <a:noFill/>
            </a:ln>
            <a:effectLst/>
          </c:spPr>
          <c:invertIfNegative val="0"/>
          <c:dLbls>
            <c:dLbl>
              <c:idx val="0"/>
              <c:tx>
                <c:rich>
                  <a:bodyPr/>
                  <a:lstStyle/>
                  <a:p>
                    <a:r>
                      <a:rPr lang="en-US"/>
                      <a:t>69,00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E6-441A-A6E1-CA9A10F4A268}"/>
                </c:ext>
              </c:extLst>
            </c:dLbl>
            <c:dLbl>
              <c:idx val="1"/>
              <c:tx>
                <c:rich>
                  <a:bodyPr/>
                  <a:lstStyle/>
                  <a:p>
                    <a:r>
                      <a:rPr lang="en-US"/>
                      <a:t>72,00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E6-441A-A6E1-CA9A10F4A268}"/>
                </c:ext>
              </c:extLst>
            </c:dLbl>
            <c:dLbl>
              <c:idx val="2"/>
              <c:tx>
                <c:rich>
                  <a:bodyPr/>
                  <a:lstStyle/>
                  <a:p>
                    <a:r>
                      <a:rPr lang="en-US"/>
                      <a:t>79,00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6E6-441A-A6E1-CA9A10F4A268}"/>
                </c:ext>
              </c:extLst>
            </c:dLbl>
            <c:dLbl>
              <c:idx val="3"/>
              <c:tx>
                <c:rich>
                  <a:bodyPr/>
                  <a:lstStyle/>
                  <a:p>
                    <a:r>
                      <a:rPr lang="en-US"/>
                      <a:t>79,00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E6-441A-A6E1-CA9A10F4A268}"/>
                </c:ext>
              </c:extLst>
            </c:dLbl>
            <c:dLbl>
              <c:idx val="4"/>
              <c:tx>
                <c:rich>
                  <a:bodyPr/>
                  <a:lstStyle/>
                  <a:p>
                    <a:r>
                      <a:rPr lang="en-US"/>
                      <a:t>85,50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6E6-441A-A6E1-CA9A10F4A268}"/>
                </c:ext>
              </c:extLst>
            </c:dLbl>
            <c:dLbl>
              <c:idx val="5"/>
              <c:tx>
                <c:rich>
                  <a:bodyPr/>
                  <a:lstStyle/>
                  <a:p>
                    <a:r>
                      <a:rPr lang="en-US"/>
                      <a:t>75,00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6E6-441A-A6E1-CA9A10F4A268}"/>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2013</c:v>
                </c:pt>
                <c:pt idx="1">
                  <c:v>2014</c:v>
                </c:pt>
                <c:pt idx="2">
                  <c:v>2015</c:v>
                </c:pt>
                <c:pt idx="3">
                  <c:v>2016</c:v>
                </c:pt>
                <c:pt idx="4">
                  <c:v>2017</c:v>
                </c:pt>
                <c:pt idx="5">
                  <c:v>2018</c:v>
                </c:pt>
              </c:numCache>
            </c:numRef>
          </c:cat>
          <c:val>
            <c:numRef>
              <c:f>Sheet1!$C$2:$C$8</c:f>
              <c:numCache>
                <c:formatCode>0.00</c:formatCode>
                <c:ptCount val="7"/>
                <c:pt idx="0">
                  <c:v>69</c:v>
                </c:pt>
                <c:pt idx="1">
                  <c:v>72</c:v>
                </c:pt>
                <c:pt idx="2">
                  <c:v>79</c:v>
                </c:pt>
                <c:pt idx="3">
                  <c:v>79</c:v>
                </c:pt>
                <c:pt idx="4">
                  <c:v>85.5</c:v>
                </c:pt>
                <c:pt idx="5">
                  <c:v>75</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wpc="http://schemas.microsoft.com/office/word/2010/wordprocessingCanvas">
            <c:ext xmlns:c16="http://schemas.microsoft.com/office/drawing/2014/chart" uri="{C3380CC4-5D6E-409C-BE32-E72D297353CC}">
              <c16:uniqueId val="{00000001-C25F-4BEB-A160-89D782EB5AAB}"/>
            </c:ext>
          </c:extLst>
        </c:ser>
        <c:ser>
          <c:idx val="2"/>
          <c:order val="2"/>
          <c:tx>
            <c:strRef>
              <c:f>Sheet1!$D$1</c:f>
              <c:strCache>
                <c:ptCount val="1"/>
                <c:pt idx="0">
                  <c:v>Inuits</c:v>
                </c:pt>
              </c:strCache>
            </c:strRef>
          </c:tx>
          <c:spPr>
            <a:solidFill>
              <a:schemeClr val="accent3"/>
            </a:solidFill>
            <a:ln>
              <a:noFill/>
            </a:ln>
            <a:effectLst/>
          </c:spPr>
          <c:invertIfNegative val="0"/>
          <c:dLbls>
            <c:dLbl>
              <c:idx val="0"/>
              <c:tx>
                <c:rich>
                  <a:bodyPr/>
                  <a:lstStyle/>
                  <a:p>
                    <a:r>
                      <a:rPr lang="en-US"/>
                      <a:t>82,00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6E6-441A-A6E1-CA9A10F4A268}"/>
                </c:ext>
              </c:extLst>
            </c:dLbl>
            <c:dLbl>
              <c:idx val="1"/>
              <c:tx>
                <c:rich>
                  <a:bodyPr/>
                  <a:lstStyle/>
                  <a:p>
                    <a:r>
                      <a:rPr lang="en-US"/>
                      <a:t>90,00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6E6-441A-A6E1-CA9A10F4A268}"/>
                </c:ext>
              </c:extLst>
            </c:dLbl>
            <c:dLbl>
              <c:idx val="2"/>
              <c:tx>
                <c:rich>
                  <a:bodyPr/>
                  <a:lstStyle/>
                  <a:p>
                    <a:r>
                      <a:rPr lang="en-US"/>
                      <a:t>93,00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6E6-441A-A6E1-CA9A10F4A268}"/>
                </c:ext>
              </c:extLst>
            </c:dLbl>
            <c:dLbl>
              <c:idx val="3"/>
              <c:tx>
                <c:rich>
                  <a:bodyPr/>
                  <a:lstStyle/>
                  <a:p>
                    <a:r>
                      <a:rPr lang="en-US"/>
                      <a:t>96,00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6E6-441A-A6E1-CA9A10F4A268}"/>
                </c:ext>
              </c:extLst>
            </c:dLbl>
            <c:dLbl>
              <c:idx val="4"/>
              <c:tx>
                <c:rich>
                  <a:bodyPr/>
                  <a:lstStyle/>
                  <a:p>
                    <a:r>
                      <a:rPr lang="en-US"/>
                      <a:t>95,00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6E6-441A-A6E1-CA9A10F4A268}"/>
                </c:ext>
              </c:extLst>
            </c:dLbl>
            <c:dLbl>
              <c:idx val="5"/>
              <c:tx>
                <c:rich>
                  <a:bodyPr/>
                  <a:lstStyle/>
                  <a:p>
                    <a:r>
                      <a:rPr lang="en-US"/>
                      <a:t>90,00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6E6-441A-A6E1-CA9A10F4A268}"/>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wpc="http://schemas.microsoft.com/office/word/2010/wordprocessingCanvas">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2013</c:v>
                </c:pt>
                <c:pt idx="1">
                  <c:v>2014</c:v>
                </c:pt>
                <c:pt idx="2">
                  <c:v>2015</c:v>
                </c:pt>
                <c:pt idx="3">
                  <c:v>2016</c:v>
                </c:pt>
                <c:pt idx="4">
                  <c:v>2017</c:v>
                </c:pt>
                <c:pt idx="5">
                  <c:v>2018</c:v>
                </c:pt>
              </c:numCache>
            </c:numRef>
          </c:cat>
          <c:val>
            <c:numRef>
              <c:f>Sheet1!$D$2:$D$8</c:f>
              <c:numCache>
                <c:formatCode>0.00</c:formatCode>
                <c:ptCount val="7"/>
                <c:pt idx="0">
                  <c:v>82</c:v>
                </c:pt>
                <c:pt idx="1">
                  <c:v>90</c:v>
                </c:pt>
                <c:pt idx="2">
                  <c:v>93</c:v>
                </c:pt>
                <c:pt idx="3">
                  <c:v>96</c:v>
                </c:pt>
                <c:pt idx="4">
                  <c:v>95</c:v>
                </c:pt>
                <c:pt idx="5">
                  <c:v>90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wpc="http://schemas.microsoft.com/office/word/2010/wordprocessingCanvas">
            <c:ext xmlns:c16="http://schemas.microsoft.com/office/drawing/2014/chart" uri="{C3380CC4-5D6E-409C-BE32-E72D297353CC}">
              <c16:uniqueId val="{00000002-C25F-4BEB-A160-89D782EB5AAB}"/>
            </c:ext>
          </c:extLst>
        </c:ser>
        <c:dLbls>
          <c:dLblPos val="ctr"/>
          <c:showLegendKey val="0"/>
          <c:showVal val="1"/>
          <c:showCatName val="0"/>
          <c:showSerName val="0"/>
          <c:showPercent val="0"/>
          <c:showBubbleSize val="0"/>
        </c:dLbls>
        <c:gapWidth val="150"/>
        <c:overlap val="100"/>
        <c:axId val="177459968"/>
        <c:axId val="177848704"/>
      </c:barChart>
      <c:catAx>
        <c:axId val="177459968"/>
        <c:scaling>
          <c:orientation val="minMax"/>
        </c:scaling>
        <c:delete val="0"/>
        <c:axPos val="b"/>
        <c:title>
          <c:tx>
            <c:rich>
              <a:bodyPr rot="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r>
                  <a:rPr lang="fr-CA" b="0" i="0" u="none" baseline="0"/>
                  <a:t>Au 31 mars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177848704"/>
        <c:crosses val="autoZero"/>
        <c:auto val="1"/>
        <c:lblAlgn val="ctr"/>
        <c:lblOffset val="100"/>
        <c:noMultiLvlLbl val="0"/>
      </c:catAx>
      <c:valAx>
        <c:axId val="177848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rtl="0">
                  <a:defRPr sz="1000" b="0" i="0" u="none" strike="noStrike" kern="1200" baseline="0">
                    <a:solidFill>
                      <a:schemeClr val="tx1">
                        <a:lumMod val="65000"/>
                        <a:lumOff val="35000"/>
                      </a:schemeClr>
                    </a:solidFill>
                    <a:latin typeface="+mn-lt"/>
                    <a:ea typeface="+mn-ea"/>
                    <a:cs typeface="+mn-cs"/>
                  </a:defRPr>
                </a:pPr>
                <a:r>
                  <a:rPr lang="fr-CA" b="0" i="0" u="none" baseline="0"/>
                  <a:t>Nombre de postes</a:t>
                </a:r>
              </a:p>
            </c:rich>
          </c:tx>
          <c:layout>
            <c:manualLayout>
              <c:xMode val="edge"/>
              <c:yMode val="edge"/>
              <c:x val="2.5462962962962962E-2"/>
              <c:y val="0.39088613923259591"/>
            </c:manualLayout>
          </c:layout>
          <c:overlay val="0"/>
          <c:spPr>
            <a:noFill/>
            <a:ln>
              <a:noFill/>
            </a:ln>
            <a:effectLst/>
          </c:spPr>
        </c:title>
        <c:numFmt formatCode="#,##0_);\(#,##0\)" sourceLinked="0"/>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17745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1" i="0" u="none" strike="noStrike" kern="1200" baseline="0">
                <a:solidFill>
                  <a:schemeClr val="tx1"/>
                </a:solidFill>
                <a:latin typeface="+mn-lt"/>
                <a:ea typeface="+mn-ea"/>
                <a:cs typeface="+mn-cs"/>
              </a:defRPr>
            </a:pPr>
            <a:r>
              <a:rPr lang="fr-CA" sz="1400" b="0" i="0" u="none" baseline="0"/>
              <a:t>Représentation inuite par catégories d’emploi</a:t>
            </a:r>
          </a:p>
        </c:rich>
      </c:tx>
      <c:layout>
        <c:manualLayout>
          <c:xMode val="edge"/>
          <c:yMode val="edge"/>
          <c:x val="0.11604905124564348"/>
          <c:y val="0"/>
        </c:manualLayout>
      </c:layout>
      <c:overlay val="0"/>
      <c:spPr>
        <a:noFill/>
        <a:ln>
          <a:noFill/>
        </a:ln>
        <a:effectLst/>
      </c:spPr>
    </c:title>
    <c:autoTitleDeleted val="0"/>
    <c:plotArea>
      <c:layout>
        <c:manualLayout>
          <c:layoutTarget val="inner"/>
          <c:xMode val="edge"/>
          <c:yMode val="edge"/>
          <c:x val="0.115018458758229"/>
          <c:y val="0.10182122583514271"/>
          <c:w val="0.76172350587324122"/>
          <c:h val="0.89817877416485725"/>
        </c:manualLayout>
      </c:layout>
      <c:ofPieChart>
        <c:ofPieType val="pie"/>
        <c:varyColors val="1"/>
        <c:ser>
          <c:idx val="0"/>
          <c:order val="0"/>
          <c:tx>
            <c:strRef>
              <c:f>Sheet1!$B$1</c:f>
              <c:strCache>
                <c:ptCount val="1"/>
                <c:pt idx="0">
                  <c:v>Représentation inuite</c:v>
                </c:pt>
              </c:strCache>
            </c:strRef>
          </c:tx>
          <c:dPt>
            <c:idx val="0"/>
            <c:bubble3D val="0"/>
            <c:spPr>
              <a:solidFill>
                <a:schemeClr val="accent1"/>
              </a:solidFill>
              <a:ln>
                <a:noFill/>
              </a:ln>
              <a:effectLst/>
            </c:spPr>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C04F-4E95-B8E8-88EDFFD685EF}"/>
              </c:ext>
            </c:extLst>
          </c:dPt>
          <c:dPt>
            <c:idx val="1"/>
            <c:bubble3D val="0"/>
            <c:spPr>
              <a:solidFill>
                <a:schemeClr val="accent2"/>
              </a:solidFill>
              <a:ln>
                <a:noFill/>
              </a:ln>
              <a:effectLst/>
            </c:spPr>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C04F-4E95-B8E8-88EDFFD685EF}"/>
              </c:ext>
            </c:extLst>
          </c:dPt>
          <c:dPt>
            <c:idx val="2"/>
            <c:bubble3D val="0"/>
            <c:spPr>
              <a:solidFill>
                <a:schemeClr val="accent3"/>
              </a:solidFill>
              <a:ln>
                <a:noFill/>
              </a:ln>
              <a:effectLst/>
            </c:spPr>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5-C04F-4E95-B8E8-88EDFFD685EF}"/>
              </c:ext>
            </c:extLst>
          </c:dPt>
          <c:dPt>
            <c:idx val="3"/>
            <c:bubble3D val="0"/>
            <c:spPr>
              <a:solidFill>
                <a:schemeClr val="accent4"/>
              </a:solidFill>
              <a:ln>
                <a:noFill/>
              </a:ln>
              <a:effectLst/>
            </c:spPr>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7-C04F-4E95-B8E8-88EDFFD685EF}"/>
              </c:ext>
            </c:extLst>
          </c:dPt>
          <c:dPt>
            <c:idx val="4"/>
            <c:bubble3D val="0"/>
            <c:spPr>
              <a:solidFill>
                <a:schemeClr val="accent5"/>
              </a:solidFill>
              <a:ln>
                <a:noFill/>
              </a:ln>
              <a:effectLst/>
            </c:spPr>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9-C04F-4E95-B8E8-88EDFFD685EF}"/>
              </c:ext>
            </c:extLst>
          </c:dPt>
          <c:dLbls>
            <c:dLbl>
              <c:idx val="0"/>
              <c:layout>
                <c:manualLayout>
                  <c:x val="0.1073042468052149"/>
                  <c:y val="-8.120984074218733E-17"/>
                </c:manualLayout>
              </c:layout>
              <c:dLblPos val="bestFit"/>
              <c:showLegendKey val="0"/>
              <c:showVal val="0"/>
              <c:showCatName val="1"/>
              <c:showSerName val="0"/>
              <c:showPercent val="1"/>
              <c:showBubbleSize val="0"/>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manualLayout>
                      <c:w val="0.1401967213114754"/>
                      <c:h val="0.19933554817275748"/>
                    </c:manualLayout>
                  </c15:layout>
                </c:ext>
                <c:ext xmlns:c16="http://schemas.microsoft.com/office/drawing/2014/chart" uri="{C3380CC4-5D6E-409C-BE32-E72D297353CC}">
                  <c16:uniqueId val="{00000001-C04F-4E95-B8E8-88EDFFD685EF}"/>
                </c:ext>
              </c:extLst>
            </c:dLbl>
            <c:dLbl>
              <c:idx val="2"/>
              <c:layout>
                <c:manualLayout>
                  <c:x val="0.12130768899789166"/>
                  <c:y val="-0.200998944899329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04F-4E95-B8E8-88EDFFD685EF}"/>
                </c:ext>
              </c:extLst>
            </c:dLbl>
            <c:dLbl>
              <c:idx val="3"/>
              <c:layout>
                <c:manualLayout>
                  <c:x val="-0.12459154081149684"/>
                  <c:y val="0.19441651188950218"/>
                </c:manualLayout>
              </c:layout>
              <c:dLblPos val="bestFit"/>
              <c:showLegendKey val="0"/>
              <c:showVal val="0"/>
              <c:showCatName val="1"/>
              <c:showSerName val="0"/>
              <c:showPercent val="1"/>
              <c:showBubbleSize val="0"/>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 xmlns:c16="http://schemas.microsoft.com/office/drawing/2014/chart" uri="{C3380CC4-5D6E-409C-BE32-E72D297353CC}">
                  <c16:uniqueId val="{00000007-C04F-4E95-B8E8-88EDFFD685EF}"/>
                </c:ext>
              </c:extLst>
            </c:dLbl>
            <c:dLbl>
              <c:idx val="4"/>
              <c:layout>
                <c:manualLayout>
                  <c:x val="-0.1424668473817822"/>
                  <c:y val="0"/>
                </c:manualLayout>
              </c:layout>
              <c:tx>
                <c:rich>
                  <a:bodyPr/>
                  <a:lstStyle/>
                  <a:p>
                    <a:r>
                      <a:rPr lang="en-US" b="0" i="0" u="none" baseline="0"/>
                      <a:t>Catégories </a:t>
                    </a:r>
                  </a:p>
                  <a:p>
                    <a:r>
                      <a:rPr lang="en-US" b="0" i="0" u="none" baseline="0"/>
                      <a:t>5 et 6
30 %</a:t>
                    </a:r>
                  </a:p>
                </c:rich>
              </c:tx>
              <c:dLblPos val="bestFit"/>
              <c:showLegendKey val="0"/>
              <c:showVal val="0"/>
              <c:showCatName val="1"/>
              <c:showSerName val="0"/>
              <c:showPercent val="1"/>
              <c:showBubbleSize val="0"/>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 xmlns:c16="http://schemas.microsoft.com/office/drawing/2014/chart" uri="{C3380CC4-5D6E-409C-BE32-E72D297353CC}">
                  <c16:uniqueId val="{00000009-C04F-4E95-B8E8-88EDFFD685EF}"/>
                </c:ext>
              </c:extLst>
            </c:dLbl>
            <c:spPr>
              <a:noFill/>
              <a:ln>
                <a:noFill/>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en-US"/>
              </a:p>
            </c:txPr>
            <c:dLblPos val="inEnd"/>
            <c:showLegendKey val="0"/>
            <c:showVal val="0"/>
            <c:showCatName val="1"/>
            <c:showSerName val="0"/>
            <c:showPercent val="1"/>
            <c:showBubbleSize val="0"/>
            <c:showLeaderLines val="0"/>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Lst>
          </c:dLbls>
          <c:cat>
            <c:strRef>
              <c:f>Sheet1!$A$2:$A$5</c:f>
              <c:strCache>
                <c:ptCount val="4"/>
                <c:pt idx="0">
                  <c:v>Autres catégories</c:v>
                </c:pt>
                <c:pt idx="1">
                  <c:v>Catégories 5 et 6</c:v>
                </c:pt>
                <c:pt idx="2">
                  <c:v>Paraprofessionnels</c:v>
                </c:pt>
                <c:pt idx="3">
                  <c:v>Soutien administratif</c:v>
                </c:pt>
              </c:strCache>
            </c:strRef>
          </c:cat>
          <c:val>
            <c:numRef>
              <c:f>Sheet1!$B$2:$B$5</c:f>
              <c:numCache>
                <c:formatCode>General</c:formatCode>
                <c:ptCount val="4"/>
                <c:pt idx="0">
                  <c:v>116</c:v>
                </c:pt>
                <c:pt idx="2">
                  <c:v>18</c:v>
                </c:pt>
                <c:pt idx="3">
                  <c:v>31</c:v>
                </c:pt>
              </c:numCache>
            </c:numRef>
          </c:val>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A-C04F-4E95-B8E8-88EDFFD685EF}"/>
            </c:ext>
          </c:extLst>
        </c:ser>
        <c:dLbls>
          <c:dLblPos val="inEnd"/>
          <c:showLegendKey val="0"/>
          <c:showVal val="1"/>
          <c:showCatName val="0"/>
          <c:showSerName val="0"/>
          <c:showPercent val="0"/>
          <c:showBubbleSize val="0"/>
          <c:showLeaderLines val="0"/>
        </c:dLbls>
        <c:gapWidth val="150"/>
        <c:secondPieSize val="75"/>
        <c:serLines>
          <c:spPr>
            <a:ln w="10000" cap="flat" cmpd="sng" algn="ctr">
              <a:solidFill>
                <a:schemeClr val="tx1"/>
              </a:solidFill>
              <a:prstDash val="solid"/>
              <a:round/>
            </a:ln>
            <a:effectLst/>
          </c:spPr>
        </c:serLines>
      </c:ofPieChart>
      <c:spPr>
        <a:noFill/>
        <a:ln>
          <a:noFill/>
        </a:ln>
        <a:effectLst/>
      </c:spPr>
    </c:plotArea>
    <c:plotVisOnly val="1"/>
    <c:dispBlanksAs val="gap"/>
    <c:showDLblsOverMax val="0"/>
  </c:chart>
  <c:spPr>
    <a:solidFill>
      <a:schemeClr val="bg1"/>
    </a:solidFill>
    <a:ln w="10000" cap="flat" cmpd="sng" algn="ctr">
      <a:solidFill>
        <a:schemeClr val="tx1">
          <a:tint val="75000"/>
        </a:schemeClr>
      </a:solid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1" i="0" u="none" strike="noStrike" kern="1200" baseline="0">
                <a:solidFill>
                  <a:schemeClr val="tx1"/>
                </a:solidFill>
                <a:latin typeface="+mn-lt"/>
                <a:ea typeface="+mn-ea"/>
                <a:cs typeface="+mn-cs"/>
              </a:defRPr>
            </a:pPr>
            <a:r>
              <a:rPr lang="fr-CA" sz="1400" b="0" i="0" u="none" baseline="0"/>
              <a:t>Représentation inuite par embauche dans les catégories des professionnels et du soutien administratif</a:t>
            </a:r>
          </a:p>
        </c:rich>
      </c:tx>
      <c:layout>
        <c:manualLayout>
          <c:xMode val="edge"/>
          <c:yMode val="edge"/>
          <c:x val="0.11604905124564348"/>
          <c:y val="0"/>
        </c:manualLayout>
      </c:layout>
      <c:overlay val="0"/>
      <c:spPr>
        <a:noFill/>
        <a:ln>
          <a:noFill/>
        </a:ln>
        <a:effectLst/>
      </c:spPr>
    </c:title>
    <c:autoTitleDeleted val="0"/>
    <c:plotArea>
      <c:layout>
        <c:manualLayout>
          <c:layoutTarget val="inner"/>
          <c:xMode val="edge"/>
          <c:yMode val="edge"/>
          <c:x val="0.115018458758229"/>
          <c:y val="0.10182122583514271"/>
          <c:w val="0.76172350587324122"/>
          <c:h val="0.89817877416485725"/>
        </c:manualLayout>
      </c:layout>
      <c:ofPieChart>
        <c:ofPieType val="pie"/>
        <c:varyColors val="1"/>
        <c:ser>
          <c:idx val="0"/>
          <c:order val="0"/>
          <c:tx>
            <c:strRef>
              <c:f>Sheet1!$B$1</c:f>
              <c:strCache>
                <c:ptCount val="1"/>
                <c:pt idx="0">
                  <c:v>Représentation inuite</c:v>
                </c:pt>
              </c:strCache>
            </c:strRef>
          </c:tx>
          <c:dPt>
            <c:idx val="0"/>
            <c:bubble3D val="0"/>
            <c:spPr>
              <a:solidFill>
                <a:schemeClr val="accent1"/>
              </a:solidFill>
              <a:ln>
                <a:noFill/>
              </a:ln>
              <a:effectLst/>
            </c:spPr>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1-A556-4D91-B3C8-F4AC07C852DC}"/>
              </c:ext>
            </c:extLst>
          </c:dPt>
          <c:dPt>
            <c:idx val="1"/>
            <c:bubble3D val="0"/>
            <c:spPr>
              <a:solidFill>
                <a:schemeClr val="accent2"/>
              </a:solidFill>
              <a:ln>
                <a:noFill/>
              </a:ln>
              <a:effectLst/>
            </c:spPr>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3-A556-4D91-B3C8-F4AC07C852DC}"/>
              </c:ext>
            </c:extLst>
          </c:dPt>
          <c:dPt>
            <c:idx val="2"/>
            <c:bubble3D val="0"/>
            <c:spPr>
              <a:solidFill>
                <a:schemeClr val="accent3"/>
              </a:solidFill>
              <a:ln>
                <a:noFill/>
              </a:ln>
              <a:effectLst/>
            </c:spPr>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5-A556-4D91-B3C8-F4AC07C852DC}"/>
              </c:ext>
            </c:extLst>
          </c:dPt>
          <c:dPt>
            <c:idx val="3"/>
            <c:bubble3D val="0"/>
            <c:spPr>
              <a:solidFill>
                <a:schemeClr val="accent4"/>
              </a:solidFill>
              <a:ln>
                <a:noFill/>
              </a:ln>
              <a:effectLst/>
            </c:spPr>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7-A556-4D91-B3C8-F4AC07C852DC}"/>
              </c:ext>
            </c:extLst>
          </c:dPt>
          <c:dPt>
            <c:idx val="4"/>
            <c:bubble3D val="0"/>
            <c:spPr>
              <a:solidFill>
                <a:schemeClr val="accent5"/>
              </a:solidFill>
              <a:ln>
                <a:noFill/>
              </a:ln>
              <a:effectLst/>
            </c:spPr>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9-A556-4D91-B3C8-F4AC07C852DC}"/>
              </c:ext>
            </c:extLst>
          </c:dPt>
          <c:dLbls>
            <c:dLbl>
              <c:idx val="0"/>
              <c:layout>
                <c:manualLayout>
                  <c:x val="0.11932610472871219"/>
                  <c:y val="2.2148394241417492E-2"/>
                </c:manualLayout>
              </c:layout>
              <c:dLblPos val="bestFit"/>
              <c:showLegendKey val="0"/>
              <c:showVal val="0"/>
              <c:showCatName val="1"/>
              <c:showSerName val="0"/>
              <c:showPercent val="1"/>
              <c:showBubbleSize val="0"/>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manualLayout>
                      <c:w val="0.15112568306010929"/>
                      <c:h val="0.23477297895902546"/>
                    </c:manualLayout>
                  </c15:layout>
                </c:ext>
                <c:ext xmlns:c16="http://schemas.microsoft.com/office/drawing/2014/chart" uri="{C3380CC4-5D6E-409C-BE32-E72D297353CC}">
                  <c16:uniqueId val="{00000001-A556-4D91-B3C8-F4AC07C852DC}"/>
                </c:ext>
              </c:extLst>
            </c:dLbl>
            <c:dLbl>
              <c:idx val="2"/>
              <c:layout>
                <c:manualLayout>
                  <c:x val="0.15846615894324675"/>
                  <c:y val="7.8070822542531018E-2"/>
                </c:manualLayout>
              </c:layout>
              <c:dLblPos val="bestFit"/>
              <c:showLegendKey val="0"/>
              <c:showVal val="0"/>
              <c:showCatName val="1"/>
              <c:showSerName val="0"/>
              <c:showPercent val="1"/>
              <c:showBubbleSize val="0"/>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manualLayout>
                      <c:w val="0.183672131147541"/>
                      <c:h val="0.15946843853820597"/>
                    </c:manualLayout>
                  </c15:layout>
                </c:ext>
                <c:ext xmlns:c16="http://schemas.microsoft.com/office/drawing/2014/chart" uri="{C3380CC4-5D6E-409C-BE32-E72D297353CC}">
                  <c16:uniqueId val="{00000005-A556-4D91-B3C8-F4AC07C852DC}"/>
                </c:ext>
              </c:extLst>
            </c:dLbl>
            <c:dLbl>
              <c:idx val="3"/>
              <c:layout>
                <c:manualLayout>
                  <c:x val="-0.12240574846177014"/>
                  <c:y val="-4.9215824766090363E-2"/>
                </c:manualLayout>
              </c:layout>
              <c:dLblPos val="bestFit"/>
              <c:showLegendKey val="0"/>
              <c:showVal val="0"/>
              <c:showCatName val="1"/>
              <c:showSerName val="0"/>
              <c:showPercent val="1"/>
              <c:showBubbleSize val="0"/>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 xmlns:c16="http://schemas.microsoft.com/office/drawing/2014/chart" uri="{C3380CC4-5D6E-409C-BE32-E72D297353CC}">
                  <c16:uniqueId val="{00000007-A556-4D91-B3C8-F4AC07C852DC}"/>
                </c:ext>
              </c:extLst>
            </c:dLbl>
            <c:dLbl>
              <c:idx val="4"/>
              <c:layout>
                <c:manualLayout>
                  <c:x val="-0.15776739382986962"/>
                  <c:y val="2.6578073089700914E-2"/>
                </c:manualLayout>
              </c:layout>
              <c:tx>
                <c:rich>
                  <a:bodyPr/>
                  <a:lstStyle/>
                  <a:p>
                    <a:r>
                      <a:rPr lang="en-US" b="0" i="0" u="none" baseline="0"/>
                      <a:t>Inuits embauchés dans les catégories </a:t>
                    </a:r>
                  </a:p>
                  <a:p>
                    <a:r>
                      <a:rPr lang="en-US" b="0" i="0" u="none" baseline="0"/>
                      <a:t>4 et 6
56 %</a:t>
                    </a:r>
                  </a:p>
                </c:rich>
              </c:tx>
              <c:dLblPos val="bestFit"/>
              <c:showLegendKey val="0"/>
              <c:showVal val="0"/>
              <c:showCatName val="1"/>
              <c:showSerName val="0"/>
              <c:showPercent val="1"/>
              <c:showBubbleSize val="0"/>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 xmlns:c16="http://schemas.microsoft.com/office/drawing/2014/chart" uri="{C3380CC4-5D6E-409C-BE32-E72D297353CC}">
                  <c16:uniqueId val="{00000009-A556-4D91-B3C8-F4AC07C852DC}"/>
                </c:ext>
              </c:extLst>
            </c:dLbl>
            <c:spPr>
              <a:noFill/>
              <a:ln>
                <a:noFill/>
              </a:ln>
              <a:effectLst/>
            </c:spPr>
            <c:txPr>
              <a:bodyPr rot="0" spcFirstLastPara="1" vertOverflow="ellipsis" vert="horz" wrap="square" anchor="ctr" anchorCtr="1"/>
              <a:lstStyle/>
              <a:p>
                <a:pPr rtl="0">
                  <a:defRPr sz="1000" b="0" i="0" u="none" strike="noStrike" kern="1200" baseline="0">
                    <a:solidFill>
                      <a:schemeClr val="tx1"/>
                    </a:solidFill>
                    <a:latin typeface="+mn-lt"/>
                    <a:ea typeface="+mn-ea"/>
                    <a:cs typeface="+mn-cs"/>
                  </a:defRPr>
                </a:pPr>
                <a:endParaRPr lang="en-US"/>
              </a:p>
            </c:txPr>
            <c:dLblPos val="inEnd"/>
            <c:showLegendKey val="0"/>
            <c:showVal val="0"/>
            <c:showCatName val="1"/>
            <c:showSerName val="0"/>
            <c:showPercent val="1"/>
            <c:showBubbleSize val="0"/>
            <c:showLeaderLines val="0"/>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extLst>
          </c:dLbls>
          <c:cat>
            <c:strRef>
              <c:f>Sheet1!$A$2:$A$5</c:f>
              <c:strCache>
                <c:ptCount val="4"/>
                <c:pt idx="0">
                  <c:v>Postes pourvus restants</c:v>
                </c:pt>
                <c:pt idx="1">
                  <c:v>Catégories 4 et 6</c:v>
                </c:pt>
                <c:pt idx="2">
                  <c:v>Professionnels</c:v>
                </c:pt>
                <c:pt idx="3">
                  <c:v>Soutien administratif</c:v>
                </c:pt>
              </c:strCache>
            </c:strRef>
          </c:cat>
          <c:val>
            <c:numRef>
              <c:f>Sheet1!$B$2:$B$5</c:f>
              <c:numCache>
                <c:formatCode>General</c:formatCode>
                <c:ptCount val="4"/>
                <c:pt idx="0">
                  <c:v>53</c:v>
                </c:pt>
                <c:pt idx="2">
                  <c:v>39</c:v>
                </c:pt>
                <c:pt idx="3">
                  <c:v>28</c:v>
                </c:pt>
              </c:numCache>
            </c:numRef>
          </c:val>
          <c:extLst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A-A556-4D91-B3C8-F4AC07C852DC}"/>
            </c:ext>
          </c:extLst>
        </c:ser>
        <c:dLbls>
          <c:dLblPos val="inEnd"/>
          <c:showLegendKey val="0"/>
          <c:showVal val="1"/>
          <c:showCatName val="0"/>
          <c:showSerName val="0"/>
          <c:showPercent val="0"/>
          <c:showBubbleSize val="0"/>
          <c:showLeaderLines val="0"/>
        </c:dLbls>
        <c:gapWidth val="150"/>
        <c:secondPieSize val="75"/>
        <c:serLines>
          <c:spPr>
            <a:ln w="10000" cap="flat" cmpd="sng" algn="ctr">
              <a:solidFill>
                <a:schemeClr val="tx1"/>
              </a:solidFill>
              <a:prstDash val="solid"/>
              <a:round/>
            </a:ln>
            <a:effectLst/>
          </c:spPr>
        </c:serLines>
      </c:ofPieChart>
      <c:spPr>
        <a:noFill/>
        <a:ln>
          <a:noFill/>
        </a:ln>
        <a:effectLst/>
      </c:spPr>
    </c:plotArea>
    <c:plotVisOnly val="1"/>
    <c:dispBlanksAs val="gap"/>
    <c:showDLblsOverMax val="0"/>
  </c:chart>
  <c:spPr>
    <a:solidFill>
      <a:schemeClr val="bg1"/>
    </a:solidFill>
    <a:ln w="10000" cap="flat" cmpd="sng" algn="ctr">
      <a:solidFill>
        <a:schemeClr val="tx1">
          <a:tint val="75000"/>
        </a:schemeClr>
      </a:solidFill>
      <a:prstDash val="solid"/>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C68E0A-9392-4683-B726-34C4D9C9E8D0}" type="doc">
      <dgm:prSet loTypeId="urn:microsoft.com/office/officeart/2009/3/layout/StepUpProcess" loCatId="process" qsTypeId="urn:microsoft.com/office/officeart/2005/8/quickstyle/simple1" qsCatId="simple" csTypeId="urn:microsoft.com/office/officeart/2005/8/colors/accent0_1" csCatId="mainScheme" phldr="1"/>
      <dgm:spPr/>
      <dgm:t>
        <a:bodyPr/>
        <a:lstStyle/>
        <a:p>
          <a:endParaRPr lang="fr-CA"/>
        </a:p>
      </dgm:t>
    </dgm:pt>
    <dgm:pt modelId="{AC09EC80-3966-4CF7-A92C-9CAD44024384}">
      <dgm:prSet phldrT="[Text]"/>
      <dgm:spPr/>
      <dgm:t>
        <a:bodyPr/>
        <a:lstStyle/>
        <a:p>
          <a:pPr rtl="0"/>
          <a:r>
            <a:rPr lang="fr-CA" b="0" i="0" u="none" baseline="0">
              <a:latin typeface="Calibri" panose="020F0502020204030204" pitchFamily="34" charset="0"/>
            </a:rPr>
            <a:t>Certificat </a:t>
          </a:r>
          <a:br>
            <a:rPr lang="fr-CA" b="0" i="0" u="none" baseline="0">
              <a:latin typeface="Calibri" panose="020F0502020204030204" pitchFamily="34" charset="0"/>
            </a:rPr>
          </a:br>
          <a:r>
            <a:rPr lang="fr-CA" b="0" i="0" u="none" baseline="0">
              <a:latin typeface="Calibri" panose="020F0502020204030204" pitchFamily="34" charset="0"/>
            </a:rPr>
            <a:t>(30 crédits)</a:t>
          </a:r>
        </a:p>
      </dgm:t>
    </dgm:pt>
    <dgm:pt modelId="{ECA932B4-CA0D-41CE-806A-3E9719578501}" type="parTrans" cxnId="{0E1B3F1E-7951-47D5-A3A8-39FE445A36C1}">
      <dgm:prSet/>
      <dgm:spPr/>
      <dgm:t>
        <a:bodyPr/>
        <a:lstStyle/>
        <a:p>
          <a:endParaRPr lang="fr-CA"/>
        </a:p>
      </dgm:t>
    </dgm:pt>
    <dgm:pt modelId="{5BD4C50B-5D25-4C21-B829-485E99C2DC0A}" type="sibTrans" cxnId="{0E1B3F1E-7951-47D5-A3A8-39FE445A36C1}">
      <dgm:prSet/>
      <dgm:spPr/>
      <dgm:t>
        <a:bodyPr/>
        <a:lstStyle/>
        <a:p>
          <a:endParaRPr lang="fr-CA"/>
        </a:p>
      </dgm:t>
    </dgm:pt>
    <dgm:pt modelId="{A90B32F4-4DD6-4A0B-8F54-EC004CD34001}">
      <dgm:prSet phldrT="[Text]"/>
      <dgm:spPr/>
      <dgm:t>
        <a:bodyPr/>
        <a:lstStyle/>
        <a:p>
          <a:pPr rtl="0"/>
          <a:r>
            <a:rPr lang="fr-CA" b="0" i="0" u="none" baseline="0">
              <a:latin typeface="Calibri" panose="020F0502020204030204" pitchFamily="34" charset="0"/>
            </a:rPr>
            <a:t>Diplôme </a:t>
          </a:r>
          <a:br>
            <a:rPr lang="fr-CA" b="0" i="0" u="none" baseline="0">
              <a:latin typeface="Calibri" panose="020F0502020204030204" pitchFamily="34" charset="0"/>
            </a:rPr>
          </a:br>
          <a:r>
            <a:rPr lang="fr-CA" b="0" i="0" u="none" baseline="0">
              <a:latin typeface="Calibri" panose="020F0502020204030204" pitchFamily="34" charset="0"/>
            </a:rPr>
            <a:t>(60 crédits)</a:t>
          </a:r>
        </a:p>
      </dgm:t>
    </dgm:pt>
    <dgm:pt modelId="{06BC8A31-0087-406E-8ADD-C456D0C4A81B}" type="parTrans" cxnId="{CB910067-5578-42BC-9620-584ED72BB727}">
      <dgm:prSet/>
      <dgm:spPr/>
      <dgm:t>
        <a:bodyPr/>
        <a:lstStyle/>
        <a:p>
          <a:endParaRPr lang="fr-CA"/>
        </a:p>
      </dgm:t>
    </dgm:pt>
    <dgm:pt modelId="{9BF8CA9F-09FD-46C1-BC30-377542AD85A6}" type="sibTrans" cxnId="{CB910067-5578-42BC-9620-584ED72BB727}">
      <dgm:prSet/>
      <dgm:spPr/>
      <dgm:t>
        <a:bodyPr/>
        <a:lstStyle/>
        <a:p>
          <a:endParaRPr lang="fr-CA"/>
        </a:p>
      </dgm:t>
    </dgm:pt>
    <dgm:pt modelId="{138531CF-B577-4AB8-8C88-DB44A4CAC5E7}">
      <dgm:prSet phldrT="[Text]"/>
      <dgm:spPr/>
      <dgm:t>
        <a:bodyPr/>
        <a:lstStyle/>
        <a:p>
          <a:pPr rtl="0"/>
          <a:r>
            <a:rPr lang="fr-CA" b="0" i="0" u="none" baseline="0">
              <a:latin typeface="Calibri" panose="020F0502020204030204" pitchFamily="34" charset="0"/>
            </a:rPr>
            <a:t>Baccalauréat (120 crédits)</a:t>
          </a:r>
        </a:p>
      </dgm:t>
    </dgm:pt>
    <dgm:pt modelId="{EFEBFD5C-2119-4D35-87DB-4C7010300481}" type="parTrans" cxnId="{4502B934-B875-401B-A783-E95522EC9207}">
      <dgm:prSet/>
      <dgm:spPr/>
      <dgm:t>
        <a:bodyPr/>
        <a:lstStyle/>
        <a:p>
          <a:endParaRPr lang="fr-CA"/>
        </a:p>
      </dgm:t>
    </dgm:pt>
    <dgm:pt modelId="{B168F5B9-CE26-4CD7-8EFB-444102A032DB}" type="sibTrans" cxnId="{4502B934-B875-401B-A783-E95522EC9207}">
      <dgm:prSet/>
      <dgm:spPr/>
      <dgm:t>
        <a:bodyPr/>
        <a:lstStyle/>
        <a:p>
          <a:endParaRPr lang="fr-CA"/>
        </a:p>
      </dgm:t>
    </dgm:pt>
    <dgm:pt modelId="{FF83E0AF-178B-45B3-AB2E-ACA03E58E3A0}">
      <dgm:prSet phldrT="[Text]"/>
      <dgm:spPr/>
      <dgm:t>
        <a:bodyPr/>
        <a:lstStyle/>
        <a:p>
          <a:pPr rtl="0"/>
          <a:r>
            <a:rPr lang="fr-CA" b="0" i="0" u="none" baseline="0">
              <a:latin typeface="Calibri" panose="020F0502020204030204" pitchFamily="34" charset="0"/>
            </a:rPr>
            <a:t>Maîtrise (thèse ou cours)</a:t>
          </a:r>
        </a:p>
      </dgm:t>
    </dgm:pt>
    <dgm:pt modelId="{2F24A0F7-3547-49F2-AB4A-D0C8407D703D}" type="parTrans" cxnId="{4A6B2033-69F2-457C-903D-69194BC2EFF1}">
      <dgm:prSet/>
      <dgm:spPr/>
      <dgm:t>
        <a:bodyPr/>
        <a:lstStyle/>
        <a:p>
          <a:endParaRPr lang="fr-CA"/>
        </a:p>
      </dgm:t>
    </dgm:pt>
    <dgm:pt modelId="{A04BD492-BDE5-4C1F-9F70-91BFCA67A049}" type="sibTrans" cxnId="{4A6B2033-69F2-457C-903D-69194BC2EFF1}">
      <dgm:prSet/>
      <dgm:spPr/>
      <dgm:t>
        <a:bodyPr/>
        <a:lstStyle/>
        <a:p>
          <a:endParaRPr lang="fr-CA"/>
        </a:p>
      </dgm:t>
    </dgm:pt>
    <dgm:pt modelId="{AD1CD7BF-4533-4024-BD2E-E219312247FC}">
      <dgm:prSet phldrT="[Text]"/>
      <dgm:spPr/>
      <dgm:t>
        <a:bodyPr/>
        <a:lstStyle/>
        <a:p>
          <a:pPr rtl="0"/>
          <a:r>
            <a:rPr lang="fr-CA" b="0" i="0" u="none" baseline="0">
              <a:latin typeface="Calibri" panose="020F0502020204030204" pitchFamily="34" charset="0"/>
            </a:rPr>
            <a:t>Doctorat (thèse ou cours)</a:t>
          </a:r>
        </a:p>
      </dgm:t>
    </dgm:pt>
    <dgm:pt modelId="{394981D8-B204-45F8-9290-8E74664349B2}" type="parTrans" cxnId="{28F47E15-6EA9-4C13-B092-47B5082D31CD}">
      <dgm:prSet/>
      <dgm:spPr/>
      <dgm:t>
        <a:bodyPr/>
        <a:lstStyle/>
        <a:p>
          <a:endParaRPr lang="fr-CA"/>
        </a:p>
      </dgm:t>
    </dgm:pt>
    <dgm:pt modelId="{674FBD22-A426-479F-A802-6E77482FFFD9}" type="sibTrans" cxnId="{28F47E15-6EA9-4C13-B092-47B5082D31CD}">
      <dgm:prSet/>
      <dgm:spPr/>
      <dgm:t>
        <a:bodyPr/>
        <a:lstStyle/>
        <a:p>
          <a:endParaRPr lang="fr-CA"/>
        </a:p>
      </dgm:t>
    </dgm:pt>
    <dgm:pt modelId="{7D5F9503-9F53-4D3F-B88E-D9025D2613B5}" type="pres">
      <dgm:prSet presAssocID="{18C68E0A-9392-4683-B726-34C4D9C9E8D0}" presName="rootnode" presStyleCnt="0">
        <dgm:presLayoutVars>
          <dgm:chMax/>
          <dgm:chPref/>
          <dgm:dir/>
          <dgm:animLvl val="lvl"/>
        </dgm:presLayoutVars>
      </dgm:prSet>
      <dgm:spPr/>
    </dgm:pt>
    <dgm:pt modelId="{EB4B7D15-E742-4290-8F7A-4F7FC63CF0DC}" type="pres">
      <dgm:prSet presAssocID="{AC09EC80-3966-4CF7-A92C-9CAD44024384}" presName="composite" presStyleCnt="0"/>
      <dgm:spPr/>
    </dgm:pt>
    <dgm:pt modelId="{9879D008-1761-4A53-87B0-052707B240A4}" type="pres">
      <dgm:prSet presAssocID="{AC09EC80-3966-4CF7-A92C-9CAD44024384}" presName="LShape" presStyleLbl="alignNode1" presStyleIdx="0" presStyleCnt="9"/>
      <dgm:spPr/>
    </dgm:pt>
    <dgm:pt modelId="{BA6BE47E-3BC1-42DF-869B-D48C3608555B}" type="pres">
      <dgm:prSet presAssocID="{AC09EC80-3966-4CF7-A92C-9CAD44024384}" presName="ParentText" presStyleLbl="revTx" presStyleIdx="0" presStyleCnt="5">
        <dgm:presLayoutVars>
          <dgm:chMax val="0"/>
          <dgm:chPref val="0"/>
          <dgm:bulletEnabled val="1"/>
        </dgm:presLayoutVars>
      </dgm:prSet>
      <dgm:spPr/>
    </dgm:pt>
    <dgm:pt modelId="{BC571AA6-CCC1-4688-BAAB-F7DDD15522CB}" type="pres">
      <dgm:prSet presAssocID="{AC09EC80-3966-4CF7-A92C-9CAD44024384}" presName="Triangle" presStyleLbl="alignNode1" presStyleIdx="1" presStyleCnt="9"/>
      <dgm:spPr/>
    </dgm:pt>
    <dgm:pt modelId="{175FE7B7-04D0-4DB8-A4BD-679D44991AAF}" type="pres">
      <dgm:prSet presAssocID="{5BD4C50B-5D25-4C21-B829-485E99C2DC0A}" presName="sibTrans" presStyleCnt="0"/>
      <dgm:spPr/>
    </dgm:pt>
    <dgm:pt modelId="{458D7A2B-961E-4658-BE0B-6CA5088CB9A0}" type="pres">
      <dgm:prSet presAssocID="{5BD4C50B-5D25-4C21-B829-485E99C2DC0A}" presName="space" presStyleCnt="0"/>
      <dgm:spPr/>
    </dgm:pt>
    <dgm:pt modelId="{0B374075-7564-4EF1-9A12-8BFCCFABEC8C}" type="pres">
      <dgm:prSet presAssocID="{A90B32F4-4DD6-4A0B-8F54-EC004CD34001}" presName="composite" presStyleCnt="0"/>
      <dgm:spPr/>
    </dgm:pt>
    <dgm:pt modelId="{C68CEE6D-EE50-408A-ADB6-439A4B76B033}" type="pres">
      <dgm:prSet presAssocID="{A90B32F4-4DD6-4A0B-8F54-EC004CD34001}" presName="LShape" presStyleLbl="alignNode1" presStyleIdx="2" presStyleCnt="9"/>
      <dgm:spPr/>
    </dgm:pt>
    <dgm:pt modelId="{E33723B0-B8AB-4A4C-AF67-98B801B134BB}" type="pres">
      <dgm:prSet presAssocID="{A90B32F4-4DD6-4A0B-8F54-EC004CD34001}" presName="ParentText" presStyleLbl="revTx" presStyleIdx="1" presStyleCnt="5">
        <dgm:presLayoutVars>
          <dgm:chMax val="0"/>
          <dgm:chPref val="0"/>
          <dgm:bulletEnabled val="1"/>
        </dgm:presLayoutVars>
      </dgm:prSet>
      <dgm:spPr/>
    </dgm:pt>
    <dgm:pt modelId="{2128E65B-D42F-4537-BEB1-2196D4F9F86D}" type="pres">
      <dgm:prSet presAssocID="{A90B32F4-4DD6-4A0B-8F54-EC004CD34001}" presName="Triangle" presStyleLbl="alignNode1" presStyleIdx="3" presStyleCnt="9"/>
      <dgm:spPr/>
    </dgm:pt>
    <dgm:pt modelId="{2E4C8F69-0429-4C01-BC34-9B35637FD232}" type="pres">
      <dgm:prSet presAssocID="{9BF8CA9F-09FD-46C1-BC30-377542AD85A6}" presName="sibTrans" presStyleCnt="0"/>
      <dgm:spPr/>
    </dgm:pt>
    <dgm:pt modelId="{EF330954-4C92-40A9-A829-D1F7635F0C07}" type="pres">
      <dgm:prSet presAssocID="{9BF8CA9F-09FD-46C1-BC30-377542AD85A6}" presName="space" presStyleCnt="0"/>
      <dgm:spPr/>
    </dgm:pt>
    <dgm:pt modelId="{372B5C7D-6390-48C2-96E5-2FC6121AB572}" type="pres">
      <dgm:prSet presAssocID="{138531CF-B577-4AB8-8C88-DB44A4CAC5E7}" presName="composite" presStyleCnt="0"/>
      <dgm:spPr/>
    </dgm:pt>
    <dgm:pt modelId="{A2AAFC9E-1615-47C1-A8B0-D9ED6F2DC61A}" type="pres">
      <dgm:prSet presAssocID="{138531CF-B577-4AB8-8C88-DB44A4CAC5E7}" presName="LShape" presStyleLbl="alignNode1" presStyleIdx="4" presStyleCnt="9"/>
      <dgm:spPr/>
    </dgm:pt>
    <dgm:pt modelId="{DDECCE1F-A7AC-447C-B745-80C0F50CE64E}" type="pres">
      <dgm:prSet presAssocID="{138531CF-B577-4AB8-8C88-DB44A4CAC5E7}" presName="ParentText" presStyleLbl="revTx" presStyleIdx="2" presStyleCnt="5">
        <dgm:presLayoutVars>
          <dgm:chMax val="0"/>
          <dgm:chPref val="0"/>
          <dgm:bulletEnabled val="1"/>
        </dgm:presLayoutVars>
      </dgm:prSet>
      <dgm:spPr/>
    </dgm:pt>
    <dgm:pt modelId="{CE7B1BC1-9996-45B0-B0F5-3DD59C4039FE}" type="pres">
      <dgm:prSet presAssocID="{138531CF-B577-4AB8-8C88-DB44A4CAC5E7}" presName="Triangle" presStyleLbl="alignNode1" presStyleIdx="5" presStyleCnt="9"/>
      <dgm:spPr/>
    </dgm:pt>
    <dgm:pt modelId="{8C996EA8-943C-4103-B7D7-F9EAB625D461}" type="pres">
      <dgm:prSet presAssocID="{B168F5B9-CE26-4CD7-8EFB-444102A032DB}" presName="sibTrans" presStyleCnt="0"/>
      <dgm:spPr/>
    </dgm:pt>
    <dgm:pt modelId="{B7226BDF-9703-4FFC-8447-29FF668CBA09}" type="pres">
      <dgm:prSet presAssocID="{B168F5B9-CE26-4CD7-8EFB-444102A032DB}" presName="space" presStyleCnt="0"/>
      <dgm:spPr/>
    </dgm:pt>
    <dgm:pt modelId="{F638A2F6-400F-4272-8B6B-BA6BADABB85C}" type="pres">
      <dgm:prSet presAssocID="{FF83E0AF-178B-45B3-AB2E-ACA03E58E3A0}" presName="composite" presStyleCnt="0"/>
      <dgm:spPr/>
    </dgm:pt>
    <dgm:pt modelId="{A9231BBA-3F76-46C6-9BC3-6835CEAC7542}" type="pres">
      <dgm:prSet presAssocID="{FF83E0AF-178B-45B3-AB2E-ACA03E58E3A0}" presName="LShape" presStyleLbl="alignNode1" presStyleIdx="6" presStyleCnt="9"/>
      <dgm:spPr/>
    </dgm:pt>
    <dgm:pt modelId="{FF6263E7-0D3E-484B-9881-5E5956AFF04A}" type="pres">
      <dgm:prSet presAssocID="{FF83E0AF-178B-45B3-AB2E-ACA03E58E3A0}" presName="ParentText" presStyleLbl="revTx" presStyleIdx="3" presStyleCnt="5">
        <dgm:presLayoutVars>
          <dgm:chMax val="0"/>
          <dgm:chPref val="0"/>
          <dgm:bulletEnabled val="1"/>
        </dgm:presLayoutVars>
      </dgm:prSet>
      <dgm:spPr/>
    </dgm:pt>
    <dgm:pt modelId="{2783E72D-FA0F-4C70-82C8-F594A3231556}" type="pres">
      <dgm:prSet presAssocID="{FF83E0AF-178B-45B3-AB2E-ACA03E58E3A0}" presName="Triangle" presStyleLbl="alignNode1" presStyleIdx="7" presStyleCnt="9"/>
      <dgm:spPr/>
    </dgm:pt>
    <dgm:pt modelId="{6A766E38-FD71-4C22-AAFF-912161B4C5BE}" type="pres">
      <dgm:prSet presAssocID="{A04BD492-BDE5-4C1F-9F70-91BFCA67A049}" presName="sibTrans" presStyleCnt="0"/>
      <dgm:spPr/>
    </dgm:pt>
    <dgm:pt modelId="{001D3BB7-CD73-43CD-BE3F-A5C3D36DF98C}" type="pres">
      <dgm:prSet presAssocID="{A04BD492-BDE5-4C1F-9F70-91BFCA67A049}" presName="space" presStyleCnt="0"/>
      <dgm:spPr/>
    </dgm:pt>
    <dgm:pt modelId="{CF87C60C-3FA0-46ED-98B2-54EAC6A4E549}" type="pres">
      <dgm:prSet presAssocID="{AD1CD7BF-4533-4024-BD2E-E219312247FC}" presName="composite" presStyleCnt="0"/>
      <dgm:spPr/>
    </dgm:pt>
    <dgm:pt modelId="{43CAFE1A-E804-4376-8CBC-32812A76187E}" type="pres">
      <dgm:prSet presAssocID="{AD1CD7BF-4533-4024-BD2E-E219312247FC}" presName="LShape" presStyleLbl="alignNode1" presStyleIdx="8" presStyleCnt="9"/>
      <dgm:spPr/>
    </dgm:pt>
    <dgm:pt modelId="{61F0E3DC-2C3D-4BEC-B3C6-D98D18BCF6EE}" type="pres">
      <dgm:prSet presAssocID="{AD1CD7BF-4533-4024-BD2E-E219312247FC}" presName="ParentText" presStyleLbl="revTx" presStyleIdx="4" presStyleCnt="5">
        <dgm:presLayoutVars>
          <dgm:chMax val="0"/>
          <dgm:chPref val="0"/>
          <dgm:bulletEnabled val="1"/>
        </dgm:presLayoutVars>
      </dgm:prSet>
      <dgm:spPr/>
    </dgm:pt>
  </dgm:ptLst>
  <dgm:cxnLst>
    <dgm:cxn modelId="{D4ED0F14-E709-468E-B637-4502E6135543}" type="presOf" srcId="{18C68E0A-9392-4683-B726-34C4D9C9E8D0}" destId="{7D5F9503-9F53-4D3F-B88E-D9025D2613B5}" srcOrd="0" destOrd="0" presId="urn:microsoft.com/office/officeart/2009/3/layout/StepUpProcess"/>
    <dgm:cxn modelId="{28F47E15-6EA9-4C13-B092-47B5082D31CD}" srcId="{18C68E0A-9392-4683-B726-34C4D9C9E8D0}" destId="{AD1CD7BF-4533-4024-BD2E-E219312247FC}" srcOrd="4" destOrd="0" parTransId="{394981D8-B204-45F8-9290-8E74664349B2}" sibTransId="{674FBD22-A426-479F-A802-6E77482FFFD9}"/>
    <dgm:cxn modelId="{0E1B3F1E-7951-47D5-A3A8-39FE445A36C1}" srcId="{18C68E0A-9392-4683-B726-34C4D9C9E8D0}" destId="{AC09EC80-3966-4CF7-A92C-9CAD44024384}" srcOrd="0" destOrd="0" parTransId="{ECA932B4-CA0D-41CE-806A-3E9719578501}" sibTransId="{5BD4C50B-5D25-4C21-B829-485E99C2DC0A}"/>
    <dgm:cxn modelId="{4A6B2033-69F2-457C-903D-69194BC2EFF1}" srcId="{18C68E0A-9392-4683-B726-34C4D9C9E8D0}" destId="{FF83E0AF-178B-45B3-AB2E-ACA03E58E3A0}" srcOrd="3" destOrd="0" parTransId="{2F24A0F7-3547-49F2-AB4A-D0C8407D703D}" sibTransId="{A04BD492-BDE5-4C1F-9F70-91BFCA67A049}"/>
    <dgm:cxn modelId="{4502B934-B875-401B-A783-E95522EC9207}" srcId="{18C68E0A-9392-4683-B726-34C4D9C9E8D0}" destId="{138531CF-B577-4AB8-8C88-DB44A4CAC5E7}" srcOrd="2" destOrd="0" parTransId="{EFEBFD5C-2119-4D35-87DB-4C7010300481}" sibTransId="{B168F5B9-CE26-4CD7-8EFB-444102A032DB}"/>
    <dgm:cxn modelId="{CB910067-5578-42BC-9620-584ED72BB727}" srcId="{18C68E0A-9392-4683-B726-34C4D9C9E8D0}" destId="{A90B32F4-4DD6-4A0B-8F54-EC004CD34001}" srcOrd="1" destOrd="0" parTransId="{06BC8A31-0087-406E-8ADD-C456D0C4A81B}" sibTransId="{9BF8CA9F-09FD-46C1-BC30-377542AD85A6}"/>
    <dgm:cxn modelId="{EFD02B84-4AC2-4ECD-896A-1B989EBEDBC7}" type="presOf" srcId="{138531CF-B577-4AB8-8C88-DB44A4CAC5E7}" destId="{DDECCE1F-A7AC-447C-B745-80C0F50CE64E}" srcOrd="0" destOrd="0" presId="urn:microsoft.com/office/officeart/2009/3/layout/StepUpProcess"/>
    <dgm:cxn modelId="{ACBD438C-1325-4F3D-89E7-BAF5FA0F226B}" type="presOf" srcId="{A90B32F4-4DD6-4A0B-8F54-EC004CD34001}" destId="{E33723B0-B8AB-4A4C-AF67-98B801B134BB}" srcOrd="0" destOrd="0" presId="urn:microsoft.com/office/officeart/2009/3/layout/StepUpProcess"/>
    <dgm:cxn modelId="{1F3B2E97-7342-41D3-BB80-EC031A06097A}" type="presOf" srcId="{FF83E0AF-178B-45B3-AB2E-ACA03E58E3A0}" destId="{FF6263E7-0D3E-484B-9881-5E5956AFF04A}" srcOrd="0" destOrd="0" presId="urn:microsoft.com/office/officeart/2009/3/layout/StepUpProcess"/>
    <dgm:cxn modelId="{3A64BAAB-4F89-479B-9378-1FAAFB579330}" type="presOf" srcId="{AD1CD7BF-4533-4024-BD2E-E219312247FC}" destId="{61F0E3DC-2C3D-4BEC-B3C6-D98D18BCF6EE}" srcOrd="0" destOrd="0" presId="urn:microsoft.com/office/officeart/2009/3/layout/StepUpProcess"/>
    <dgm:cxn modelId="{1C3038F7-C33B-4700-97EB-C08ABE97E62E}" type="presOf" srcId="{AC09EC80-3966-4CF7-A92C-9CAD44024384}" destId="{BA6BE47E-3BC1-42DF-869B-D48C3608555B}" srcOrd="0" destOrd="0" presId="urn:microsoft.com/office/officeart/2009/3/layout/StepUpProcess"/>
    <dgm:cxn modelId="{FCB1FCA4-A166-47D7-9994-BBDF87BFFA38}" type="presParOf" srcId="{7D5F9503-9F53-4D3F-B88E-D9025D2613B5}" destId="{EB4B7D15-E742-4290-8F7A-4F7FC63CF0DC}" srcOrd="0" destOrd="0" presId="urn:microsoft.com/office/officeart/2009/3/layout/StepUpProcess"/>
    <dgm:cxn modelId="{668DE4B6-0B82-4C25-833F-33E88FAE46A1}" type="presParOf" srcId="{EB4B7D15-E742-4290-8F7A-4F7FC63CF0DC}" destId="{9879D008-1761-4A53-87B0-052707B240A4}" srcOrd="0" destOrd="0" presId="urn:microsoft.com/office/officeart/2009/3/layout/StepUpProcess"/>
    <dgm:cxn modelId="{01AB27AF-5005-4156-9003-69E92E7F7FB0}" type="presParOf" srcId="{EB4B7D15-E742-4290-8F7A-4F7FC63CF0DC}" destId="{BA6BE47E-3BC1-42DF-869B-D48C3608555B}" srcOrd="1" destOrd="0" presId="urn:microsoft.com/office/officeart/2009/3/layout/StepUpProcess"/>
    <dgm:cxn modelId="{ED25E007-A7BF-4CF2-9D0B-380737C48564}" type="presParOf" srcId="{EB4B7D15-E742-4290-8F7A-4F7FC63CF0DC}" destId="{BC571AA6-CCC1-4688-BAAB-F7DDD15522CB}" srcOrd="2" destOrd="0" presId="urn:microsoft.com/office/officeart/2009/3/layout/StepUpProcess"/>
    <dgm:cxn modelId="{EF96B7ED-285A-4DCD-8369-05F0D207937E}" type="presParOf" srcId="{7D5F9503-9F53-4D3F-B88E-D9025D2613B5}" destId="{175FE7B7-04D0-4DB8-A4BD-679D44991AAF}" srcOrd="1" destOrd="0" presId="urn:microsoft.com/office/officeart/2009/3/layout/StepUpProcess"/>
    <dgm:cxn modelId="{6A7EA802-2808-467D-9585-6A54A59AC8BD}" type="presParOf" srcId="{175FE7B7-04D0-4DB8-A4BD-679D44991AAF}" destId="{458D7A2B-961E-4658-BE0B-6CA5088CB9A0}" srcOrd="0" destOrd="0" presId="urn:microsoft.com/office/officeart/2009/3/layout/StepUpProcess"/>
    <dgm:cxn modelId="{E58A7A3E-BDE9-406F-8E99-50782F425B3E}" type="presParOf" srcId="{7D5F9503-9F53-4D3F-B88E-D9025D2613B5}" destId="{0B374075-7564-4EF1-9A12-8BFCCFABEC8C}" srcOrd="2" destOrd="0" presId="urn:microsoft.com/office/officeart/2009/3/layout/StepUpProcess"/>
    <dgm:cxn modelId="{C552E1DB-8025-45C5-BFC1-DD5A5AB24C38}" type="presParOf" srcId="{0B374075-7564-4EF1-9A12-8BFCCFABEC8C}" destId="{C68CEE6D-EE50-408A-ADB6-439A4B76B033}" srcOrd="0" destOrd="0" presId="urn:microsoft.com/office/officeart/2009/3/layout/StepUpProcess"/>
    <dgm:cxn modelId="{0557B996-4821-4086-9890-6AC37D764F6A}" type="presParOf" srcId="{0B374075-7564-4EF1-9A12-8BFCCFABEC8C}" destId="{E33723B0-B8AB-4A4C-AF67-98B801B134BB}" srcOrd="1" destOrd="0" presId="urn:microsoft.com/office/officeart/2009/3/layout/StepUpProcess"/>
    <dgm:cxn modelId="{40DD0DCC-2EF0-4D99-94B5-487EA1C84299}" type="presParOf" srcId="{0B374075-7564-4EF1-9A12-8BFCCFABEC8C}" destId="{2128E65B-D42F-4537-BEB1-2196D4F9F86D}" srcOrd="2" destOrd="0" presId="urn:microsoft.com/office/officeart/2009/3/layout/StepUpProcess"/>
    <dgm:cxn modelId="{272E7BAE-0311-42B2-A9E6-828809653A08}" type="presParOf" srcId="{7D5F9503-9F53-4D3F-B88E-D9025D2613B5}" destId="{2E4C8F69-0429-4C01-BC34-9B35637FD232}" srcOrd="3" destOrd="0" presId="urn:microsoft.com/office/officeart/2009/3/layout/StepUpProcess"/>
    <dgm:cxn modelId="{537BBA95-BCE7-4AD0-8574-9D86059E9333}" type="presParOf" srcId="{2E4C8F69-0429-4C01-BC34-9B35637FD232}" destId="{EF330954-4C92-40A9-A829-D1F7635F0C07}" srcOrd="0" destOrd="0" presId="urn:microsoft.com/office/officeart/2009/3/layout/StepUpProcess"/>
    <dgm:cxn modelId="{09F0F913-63CF-4AEA-898C-08C916423715}" type="presParOf" srcId="{7D5F9503-9F53-4D3F-B88E-D9025D2613B5}" destId="{372B5C7D-6390-48C2-96E5-2FC6121AB572}" srcOrd="4" destOrd="0" presId="urn:microsoft.com/office/officeart/2009/3/layout/StepUpProcess"/>
    <dgm:cxn modelId="{041678BC-AD2B-41C5-A34B-9A5AF7848D8C}" type="presParOf" srcId="{372B5C7D-6390-48C2-96E5-2FC6121AB572}" destId="{A2AAFC9E-1615-47C1-A8B0-D9ED6F2DC61A}" srcOrd="0" destOrd="0" presId="urn:microsoft.com/office/officeart/2009/3/layout/StepUpProcess"/>
    <dgm:cxn modelId="{B06CB29C-720C-49C0-BAB0-3F2D1BA6F6BB}" type="presParOf" srcId="{372B5C7D-6390-48C2-96E5-2FC6121AB572}" destId="{DDECCE1F-A7AC-447C-B745-80C0F50CE64E}" srcOrd="1" destOrd="0" presId="urn:microsoft.com/office/officeart/2009/3/layout/StepUpProcess"/>
    <dgm:cxn modelId="{22E3C6A6-07FD-489F-96F7-E52AEF30BDDB}" type="presParOf" srcId="{372B5C7D-6390-48C2-96E5-2FC6121AB572}" destId="{CE7B1BC1-9996-45B0-B0F5-3DD59C4039FE}" srcOrd="2" destOrd="0" presId="urn:microsoft.com/office/officeart/2009/3/layout/StepUpProcess"/>
    <dgm:cxn modelId="{D0B6A684-63B6-48F7-B747-A29F647E4F1A}" type="presParOf" srcId="{7D5F9503-9F53-4D3F-B88E-D9025D2613B5}" destId="{8C996EA8-943C-4103-B7D7-F9EAB625D461}" srcOrd="5" destOrd="0" presId="urn:microsoft.com/office/officeart/2009/3/layout/StepUpProcess"/>
    <dgm:cxn modelId="{04BC2194-0B09-43C2-974A-187D76B82CEF}" type="presParOf" srcId="{8C996EA8-943C-4103-B7D7-F9EAB625D461}" destId="{B7226BDF-9703-4FFC-8447-29FF668CBA09}" srcOrd="0" destOrd="0" presId="urn:microsoft.com/office/officeart/2009/3/layout/StepUpProcess"/>
    <dgm:cxn modelId="{F36002DB-B4FE-465E-9928-662AF09275F2}" type="presParOf" srcId="{7D5F9503-9F53-4D3F-B88E-D9025D2613B5}" destId="{F638A2F6-400F-4272-8B6B-BA6BADABB85C}" srcOrd="6" destOrd="0" presId="urn:microsoft.com/office/officeart/2009/3/layout/StepUpProcess"/>
    <dgm:cxn modelId="{D8FC8A7F-9D7B-407D-971B-97B553F55C82}" type="presParOf" srcId="{F638A2F6-400F-4272-8B6B-BA6BADABB85C}" destId="{A9231BBA-3F76-46C6-9BC3-6835CEAC7542}" srcOrd="0" destOrd="0" presId="urn:microsoft.com/office/officeart/2009/3/layout/StepUpProcess"/>
    <dgm:cxn modelId="{94E2C571-5A60-4A9B-A7FA-6737FB2D4C37}" type="presParOf" srcId="{F638A2F6-400F-4272-8B6B-BA6BADABB85C}" destId="{FF6263E7-0D3E-484B-9881-5E5956AFF04A}" srcOrd="1" destOrd="0" presId="urn:microsoft.com/office/officeart/2009/3/layout/StepUpProcess"/>
    <dgm:cxn modelId="{01C094C1-671C-4DEE-8541-423CABB30477}" type="presParOf" srcId="{F638A2F6-400F-4272-8B6B-BA6BADABB85C}" destId="{2783E72D-FA0F-4C70-82C8-F594A3231556}" srcOrd="2" destOrd="0" presId="urn:microsoft.com/office/officeart/2009/3/layout/StepUpProcess"/>
    <dgm:cxn modelId="{42C80681-3BAF-4829-9A82-6D6938FAC17A}" type="presParOf" srcId="{7D5F9503-9F53-4D3F-B88E-D9025D2613B5}" destId="{6A766E38-FD71-4C22-AAFF-912161B4C5BE}" srcOrd="7" destOrd="0" presId="urn:microsoft.com/office/officeart/2009/3/layout/StepUpProcess"/>
    <dgm:cxn modelId="{D4198C06-A7D5-4477-B639-00EFFCC762D9}" type="presParOf" srcId="{6A766E38-FD71-4C22-AAFF-912161B4C5BE}" destId="{001D3BB7-CD73-43CD-BE3F-A5C3D36DF98C}" srcOrd="0" destOrd="0" presId="urn:microsoft.com/office/officeart/2009/3/layout/StepUpProcess"/>
    <dgm:cxn modelId="{B3CE6798-DAB5-453C-BD88-5613DD2FAE9D}" type="presParOf" srcId="{7D5F9503-9F53-4D3F-B88E-D9025D2613B5}" destId="{CF87C60C-3FA0-46ED-98B2-54EAC6A4E549}" srcOrd="8" destOrd="0" presId="urn:microsoft.com/office/officeart/2009/3/layout/StepUpProcess"/>
    <dgm:cxn modelId="{CDAE9F10-06FE-4611-8CE5-771492E9B43B}" type="presParOf" srcId="{CF87C60C-3FA0-46ED-98B2-54EAC6A4E549}" destId="{43CAFE1A-E804-4376-8CBC-32812A76187E}" srcOrd="0" destOrd="0" presId="urn:microsoft.com/office/officeart/2009/3/layout/StepUpProcess"/>
    <dgm:cxn modelId="{73D6E4D6-794F-4902-860D-092F2347A6E3}" type="presParOf" srcId="{CF87C60C-3FA0-46ED-98B2-54EAC6A4E549}" destId="{61F0E3DC-2C3D-4BEC-B3C6-D98D18BCF6EE}" srcOrd="1" destOrd="0" presId="urn:microsoft.com/office/officeart/2009/3/layout/StepU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79D008-1761-4A53-87B0-052707B240A4}">
      <dsp:nvSpPr>
        <dsp:cNvPr id="0" name=""/>
        <dsp:cNvSpPr/>
      </dsp:nvSpPr>
      <dsp:spPr>
        <a:xfrm rot="5400000">
          <a:off x="907638" y="735648"/>
          <a:ext cx="493847" cy="821750"/>
        </a:xfrm>
        <a:prstGeom prst="corner">
          <a:avLst>
            <a:gd name="adj1" fmla="val 16120"/>
            <a:gd name="adj2" fmla="val 1611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6BE47E-3BC1-42DF-869B-D48C3608555B}">
      <dsp:nvSpPr>
        <dsp:cNvPr id="0" name=""/>
        <dsp:cNvSpPr/>
      </dsp:nvSpPr>
      <dsp:spPr>
        <a:xfrm>
          <a:off x="825203" y="981175"/>
          <a:ext cx="741881" cy="650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rtl="0">
            <a:lnSpc>
              <a:spcPct val="90000"/>
            </a:lnSpc>
            <a:spcBef>
              <a:spcPct val="0"/>
            </a:spcBef>
            <a:spcAft>
              <a:spcPct val="35000"/>
            </a:spcAft>
            <a:buNone/>
          </a:pPr>
          <a:r>
            <a:rPr lang="fr-CA" sz="900" b="0" i="0" u="none" kern="1200" baseline="0">
              <a:latin typeface="Calibri" panose="020F0502020204030204" pitchFamily="34" charset="0"/>
            </a:rPr>
            <a:t>Certificat </a:t>
          </a:r>
          <a:br>
            <a:rPr lang="fr-CA" sz="900" b="0" i="0" u="none" kern="1200" baseline="0">
              <a:latin typeface="Calibri" panose="020F0502020204030204" pitchFamily="34" charset="0"/>
            </a:rPr>
          </a:br>
          <a:r>
            <a:rPr lang="fr-CA" sz="900" b="0" i="0" u="none" kern="1200" baseline="0">
              <a:latin typeface="Calibri" panose="020F0502020204030204" pitchFamily="34" charset="0"/>
            </a:rPr>
            <a:t>(30 crédits)</a:t>
          </a:r>
        </a:p>
      </dsp:txBody>
      <dsp:txXfrm>
        <a:off x="825203" y="981175"/>
        <a:ext cx="741881" cy="650302"/>
      </dsp:txXfrm>
    </dsp:sp>
    <dsp:sp modelId="{BC571AA6-CCC1-4688-BAAB-F7DDD15522CB}">
      <dsp:nvSpPr>
        <dsp:cNvPr id="0" name=""/>
        <dsp:cNvSpPr/>
      </dsp:nvSpPr>
      <dsp:spPr>
        <a:xfrm>
          <a:off x="1427106" y="675150"/>
          <a:ext cx="139977" cy="139977"/>
        </a:xfrm>
        <a:prstGeom prst="triangle">
          <a:avLst>
            <a:gd name="adj" fmla="val 10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8CEE6D-EE50-408A-ADB6-439A4B76B033}">
      <dsp:nvSpPr>
        <dsp:cNvPr id="0" name=""/>
        <dsp:cNvSpPr/>
      </dsp:nvSpPr>
      <dsp:spPr>
        <a:xfrm rot="5400000">
          <a:off x="1815845" y="510912"/>
          <a:ext cx="493847" cy="821750"/>
        </a:xfrm>
        <a:prstGeom prst="corner">
          <a:avLst>
            <a:gd name="adj1" fmla="val 16120"/>
            <a:gd name="adj2" fmla="val 1611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3723B0-B8AB-4A4C-AF67-98B801B134BB}">
      <dsp:nvSpPr>
        <dsp:cNvPr id="0" name=""/>
        <dsp:cNvSpPr/>
      </dsp:nvSpPr>
      <dsp:spPr>
        <a:xfrm>
          <a:off x="1733410" y="756438"/>
          <a:ext cx="741881" cy="650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rtl="0">
            <a:lnSpc>
              <a:spcPct val="90000"/>
            </a:lnSpc>
            <a:spcBef>
              <a:spcPct val="0"/>
            </a:spcBef>
            <a:spcAft>
              <a:spcPct val="35000"/>
            </a:spcAft>
            <a:buNone/>
          </a:pPr>
          <a:r>
            <a:rPr lang="fr-CA" sz="900" b="0" i="0" u="none" kern="1200" baseline="0">
              <a:latin typeface="Calibri" panose="020F0502020204030204" pitchFamily="34" charset="0"/>
            </a:rPr>
            <a:t>Diplôme </a:t>
          </a:r>
          <a:br>
            <a:rPr lang="fr-CA" sz="900" b="0" i="0" u="none" kern="1200" baseline="0">
              <a:latin typeface="Calibri" panose="020F0502020204030204" pitchFamily="34" charset="0"/>
            </a:rPr>
          </a:br>
          <a:r>
            <a:rPr lang="fr-CA" sz="900" b="0" i="0" u="none" kern="1200" baseline="0">
              <a:latin typeface="Calibri" panose="020F0502020204030204" pitchFamily="34" charset="0"/>
            </a:rPr>
            <a:t>(60 crédits)</a:t>
          </a:r>
        </a:p>
      </dsp:txBody>
      <dsp:txXfrm>
        <a:off x="1733410" y="756438"/>
        <a:ext cx="741881" cy="650302"/>
      </dsp:txXfrm>
    </dsp:sp>
    <dsp:sp modelId="{2128E65B-D42F-4537-BEB1-2196D4F9F86D}">
      <dsp:nvSpPr>
        <dsp:cNvPr id="0" name=""/>
        <dsp:cNvSpPr/>
      </dsp:nvSpPr>
      <dsp:spPr>
        <a:xfrm>
          <a:off x="2335313" y="450413"/>
          <a:ext cx="139977" cy="139977"/>
        </a:xfrm>
        <a:prstGeom prst="triangle">
          <a:avLst>
            <a:gd name="adj" fmla="val 10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AAFC9E-1615-47C1-A8B0-D9ED6F2DC61A}">
      <dsp:nvSpPr>
        <dsp:cNvPr id="0" name=""/>
        <dsp:cNvSpPr/>
      </dsp:nvSpPr>
      <dsp:spPr>
        <a:xfrm rot="5400000">
          <a:off x="2724053" y="286175"/>
          <a:ext cx="493847" cy="821750"/>
        </a:xfrm>
        <a:prstGeom prst="corner">
          <a:avLst>
            <a:gd name="adj1" fmla="val 16120"/>
            <a:gd name="adj2" fmla="val 1611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ECCE1F-A7AC-447C-B745-80C0F50CE64E}">
      <dsp:nvSpPr>
        <dsp:cNvPr id="0" name=""/>
        <dsp:cNvSpPr/>
      </dsp:nvSpPr>
      <dsp:spPr>
        <a:xfrm>
          <a:off x="2641617" y="531701"/>
          <a:ext cx="741881" cy="650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rtl="0">
            <a:lnSpc>
              <a:spcPct val="90000"/>
            </a:lnSpc>
            <a:spcBef>
              <a:spcPct val="0"/>
            </a:spcBef>
            <a:spcAft>
              <a:spcPct val="35000"/>
            </a:spcAft>
            <a:buNone/>
          </a:pPr>
          <a:r>
            <a:rPr lang="fr-CA" sz="900" b="0" i="0" u="none" kern="1200" baseline="0">
              <a:latin typeface="Calibri" panose="020F0502020204030204" pitchFamily="34" charset="0"/>
            </a:rPr>
            <a:t>Baccalauréat (120 crédits)</a:t>
          </a:r>
        </a:p>
      </dsp:txBody>
      <dsp:txXfrm>
        <a:off x="2641617" y="531701"/>
        <a:ext cx="741881" cy="650302"/>
      </dsp:txXfrm>
    </dsp:sp>
    <dsp:sp modelId="{CE7B1BC1-9996-45B0-B0F5-3DD59C4039FE}">
      <dsp:nvSpPr>
        <dsp:cNvPr id="0" name=""/>
        <dsp:cNvSpPr/>
      </dsp:nvSpPr>
      <dsp:spPr>
        <a:xfrm>
          <a:off x="3243521" y="225677"/>
          <a:ext cx="139977" cy="139977"/>
        </a:xfrm>
        <a:prstGeom prst="triangle">
          <a:avLst>
            <a:gd name="adj" fmla="val 10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231BBA-3F76-46C6-9BC3-6835CEAC7542}">
      <dsp:nvSpPr>
        <dsp:cNvPr id="0" name=""/>
        <dsp:cNvSpPr/>
      </dsp:nvSpPr>
      <dsp:spPr>
        <a:xfrm rot="5400000">
          <a:off x="3632260" y="61438"/>
          <a:ext cx="493847" cy="821750"/>
        </a:xfrm>
        <a:prstGeom prst="corner">
          <a:avLst>
            <a:gd name="adj1" fmla="val 16120"/>
            <a:gd name="adj2" fmla="val 1611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6263E7-0D3E-484B-9881-5E5956AFF04A}">
      <dsp:nvSpPr>
        <dsp:cNvPr id="0" name=""/>
        <dsp:cNvSpPr/>
      </dsp:nvSpPr>
      <dsp:spPr>
        <a:xfrm>
          <a:off x="3549824" y="306964"/>
          <a:ext cx="741881" cy="650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rtl="0">
            <a:lnSpc>
              <a:spcPct val="90000"/>
            </a:lnSpc>
            <a:spcBef>
              <a:spcPct val="0"/>
            </a:spcBef>
            <a:spcAft>
              <a:spcPct val="35000"/>
            </a:spcAft>
            <a:buNone/>
          </a:pPr>
          <a:r>
            <a:rPr lang="fr-CA" sz="900" b="0" i="0" u="none" kern="1200" baseline="0">
              <a:latin typeface="Calibri" panose="020F0502020204030204" pitchFamily="34" charset="0"/>
            </a:rPr>
            <a:t>Maîtrise (thèse ou cours)</a:t>
          </a:r>
        </a:p>
      </dsp:txBody>
      <dsp:txXfrm>
        <a:off x="3549824" y="306964"/>
        <a:ext cx="741881" cy="650302"/>
      </dsp:txXfrm>
    </dsp:sp>
    <dsp:sp modelId="{2783E72D-FA0F-4C70-82C8-F594A3231556}">
      <dsp:nvSpPr>
        <dsp:cNvPr id="0" name=""/>
        <dsp:cNvSpPr/>
      </dsp:nvSpPr>
      <dsp:spPr>
        <a:xfrm>
          <a:off x="4151728" y="940"/>
          <a:ext cx="139977" cy="139977"/>
        </a:xfrm>
        <a:prstGeom prst="triangle">
          <a:avLst>
            <a:gd name="adj" fmla="val 10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CAFE1A-E804-4376-8CBC-32812A76187E}">
      <dsp:nvSpPr>
        <dsp:cNvPr id="0" name=""/>
        <dsp:cNvSpPr/>
      </dsp:nvSpPr>
      <dsp:spPr>
        <a:xfrm rot="5400000">
          <a:off x="4540467" y="-163298"/>
          <a:ext cx="493847" cy="821750"/>
        </a:xfrm>
        <a:prstGeom prst="corner">
          <a:avLst>
            <a:gd name="adj1" fmla="val 16120"/>
            <a:gd name="adj2" fmla="val 1611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F0E3DC-2C3D-4BEC-B3C6-D98D18BCF6EE}">
      <dsp:nvSpPr>
        <dsp:cNvPr id="0" name=""/>
        <dsp:cNvSpPr/>
      </dsp:nvSpPr>
      <dsp:spPr>
        <a:xfrm>
          <a:off x="4458032" y="82228"/>
          <a:ext cx="741881" cy="650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rtl="0">
            <a:lnSpc>
              <a:spcPct val="90000"/>
            </a:lnSpc>
            <a:spcBef>
              <a:spcPct val="0"/>
            </a:spcBef>
            <a:spcAft>
              <a:spcPct val="35000"/>
            </a:spcAft>
            <a:buNone/>
          </a:pPr>
          <a:r>
            <a:rPr lang="fr-CA" sz="900" b="0" i="0" u="none" kern="1200" baseline="0">
              <a:latin typeface="Calibri" panose="020F0502020204030204" pitchFamily="34" charset="0"/>
            </a:rPr>
            <a:t>Doctorat (thèse ou cours)</a:t>
          </a:r>
        </a:p>
      </dsp:txBody>
      <dsp:txXfrm>
        <a:off x="4458032" y="82228"/>
        <a:ext cx="741881" cy="650302"/>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A5BFBDB7-5AD8-456B-891F-EC864745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15432</Words>
  <Characters>87969</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2020-03-03T19:18:00Z</dcterms:created>
  <dcterms:modified xsi:type="dcterms:W3CDTF">2020-05-25T14:50:00Z</dcterms:modified>
  <cp:version/>
</cp:coreProperties>
</file>